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90755" w14:textId="77777777" w:rsidR="00066290" w:rsidRDefault="00066290" w:rsidP="005E67E0">
      <w:pPr>
        <w:jc w:val="center"/>
        <w:rPr>
          <w:sz w:val="28"/>
          <w:szCs w:val="28"/>
        </w:rPr>
      </w:pPr>
    </w:p>
    <w:p w14:paraId="441DE0E8" w14:textId="07701F58" w:rsidR="00AC279B" w:rsidRDefault="00AC279B" w:rsidP="005E67E0">
      <w:pPr>
        <w:jc w:val="center"/>
        <w:rPr>
          <w:sz w:val="28"/>
          <w:szCs w:val="28"/>
        </w:rPr>
      </w:pPr>
      <w:r>
        <w:rPr>
          <w:noProof/>
        </w:rPr>
        <w:drawing>
          <wp:inline distT="0" distB="0" distL="0" distR="0" wp14:anchorId="736F2C96" wp14:editId="0B0E6A7C">
            <wp:extent cx="5943600" cy="2210535"/>
            <wp:effectExtent l="0" t="0" r="0" b="0"/>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210535"/>
                    </a:xfrm>
                    <a:prstGeom prst="rect">
                      <a:avLst/>
                    </a:prstGeom>
                    <a:noFill/>
                    <a:ln>
                      <a:noFill/>
                    </a:ln>
                  </pic:spPr>
                </pic:pic>
              </a:graphicData>
            </a:graphic>
          </wp:inline>
        </w:drawing>
      </w:r>
    </w:p>
    <w:p w14:paraId="3910C121" w14:textId="77777777" w:rsidR="00AC279B" w:rsidRDefault="00AC279B" w:rsidP="005E67E0">
      <w:pPr>
        <w:jc w:val="center"/>
        <w:rPr>
          <w:sz w:val="28"/>
          <w:szCs w:val="28"/>
        </w:rPr>
      </w:pPr>
    </w:p>
    <w:p w14:paraId="3FCBC5CD" w14:textId="77777777" w:rsidR="00AC279B" w:rsidRDefault="00AC279B" w:rsidP="005E67E0">
      <w:pPr>
        <w:jc w:val="center"/>
        <w:rPr>
          <w:sz w:val="28"/>
          <w:szCs w:val="28"/>
        </w:rPr>
      </w:pPr>
    </w:p>
    <w:p w14:paraId="48C29489" w14:textId="4463EF9C" w:rsidR="004567BB" w:rsidRDefault="004567BB" w:rsidP="005E67E0">
      <w:pPr>
        <w:jc w:val="center"/>
        <w:rPr>
          <w:sz w:val="28"/>
          <w:szCs w:val="28"/>
        </w:rPr>
      </w:pPr>
    </w:p>
    <w:p w14:paraId="1F3E9D23" w14:textId="77777777" w:rsidR="004567BB" w:rsidRDefault="004567BB" w:rsidP="005E67E0">
      <w:pPr>
        <w:jc w:val="center"/>
        <w:rPr>
          <w:sz w:val="28"/>
          <w:szCs w:val="28"/>
        </w:rPr>
      </w:pPr>
    </w:p>
    <w:p w14:paraId="0465A120" w14:textId="77777777" w:rsidR="004567BB" w:rsidRDefault="004567BB" w:rsidP="005E67E0">
      <w:pPr>
        <w:jc w:val="center"/>
        <w:rPr>
          <w:sz w:val="28"/>
          <w:szCs w:val="28"/>
        </w:rPr>
      </w:pPr>
    </w:p>
    <w:p w14:paraId="23FF8258" w14:textId="77777777" w:rsidR="004567BB" w:rsidRDefault="004567BB" w:rsidP="005E67E0">
      <w:pPr>
        <w:jc w:val="center"/>
        <w:rPr>
          <w:sz w:val="28"/>
          <w:szCs w:val="28"/>
        </w:rPr>
      </w:pPr>
    </w:p>
    <w:p w14:paraId="7D396532" w14:textId="77777777" w:rsidR="004567BB" w:rsidRPr="00C273C0" w:rsidRDefault="004567BB" w:rsidP="004567BB">
      <w:pPr>
        <w:spacing w:before="75"/>
        <w:ind w:left="630" w:right="640"/>
        <w:jc w:val="center"/>
        <w:rPr>
          <w:rFonts w:cs="Arial"/>
          <w:b/>
          <w:bCs/>
          <w:sz w:val="36"/>
          <w:szCs w:val="36"/>
        </w:rPr>
      </w:pPr>
      <w:r w:rsidRPr="00C273C0">
        <w:rPr>
          <w:rFonts w:cs="Arial"/>
          <w:b/>
          <w:bCs/>
          <w:w w:val="110"/>
          <w:sz w:val="36"/>
          <w:szCs w:val="36"/>
        </w:rPr>
        <w:t>Greene, Tweed &amp; Co.</w:t>
      </w:r>
    </w:p>
    <w:p w14:paraId="1DEC3C2E" w14:textId="77777777" w:rsidR="004567BB" w:rsidRPr="00C273C0" w:rsidRDefault="004567BB" w:rsidP="004567BB">
      <w:pPr>
        <w:spacing w:before="97"/>
        <w:ind w:left="632" w:right="640"/>
        <w:jc w:val="center"/>
        <w:rPr>
          <w:rFonts w:cs="Arial"/>
          <w:b/>
          <w:bCs/>
          <w:sz w:val="36"/>
          <w:szCs w:val="36"/>
        </w:rPr>
      </w:pPr>
      <w:r w:rsidRPr="00C273C0">
        <w:rPr>
          <w:rFonts w:cs="Arial"/>
          <w:b/>
          <w:bCs/>
          <w:w w:val="115"/>
          <w:sz w:val="36"/>
          <w:szCs w:val="36"/>
        </w:rPr>
        <w:t>Global Supplier</w:t>
      </w:r>
      <w:r w:rsidRPr="00C273C0">
        <w:rPr>
          <w:rFonts w:cs="Arial"/>
          <w:b/>
          <w:bCs/>
          <w:spacing w:val="76"/>
          <w:w w:val="115"/>
          <w:sz w:val="36"/>
          <w:szCs w:val="36"/>
        </w:rPr>
        <w:t xml:space="preserve"> </w:t>
      </w:r>
      <w:r w:rsidRPr="00C273C0">
        <w:rPr>
          <w:rFonts w:cs="Arial"/>
          <w:b/>
          <w:bCs/>
          <w:w w:val="115"/>
          <w:sz w:val="36"/>
          <w:szCs w:val="36"/>
        </w:rPr>
        <w:t>Handbook</w:t>
      </w:r>
    </w:p>
    <w:p w14:paraId="31C85953" w14:textId="77777777" w:rsidR="004567BB" w:rsidRDefault="004567BB" w:rsidP="005E67E0">
      <w:pPr>
        <w:jc w:val="center"/>
        <w:rPr>
          <w:sz w:val="28"/>
          <w:szCs w:val="28"/>
        </w:rPr>
      </w:pPr>
    </w:p>
    <w:p w14:paraId="1BB40284" w14:textId="77777777" w:rsidR="004567BB" w:rsidRDefault="004567BB" w:rsidP="005E67E0">
      <w:pPr>
        <w:jc w:val="center"/>
        <w:rPr>
          <w:sz w:val="28"/>
          <w:szCs w:val="28"/>
        </w:rPr>
      </w:pPr>
    </w:p>
    <w:p w14:paraId="6EB8EF13" w14:textId="77777777" w:rsidR="004567BB" w:rsidRDefault="004567BB" w:rsidP="00AC279B">
      <w:pPr>
        <w:rPr>
          <w:sz w:val="28"/>
          <w:szCs w:val="28"/>
        </w:rPr>
      </w:pPr>
    </w:p>
    <w:p w14:paraId="560263E1" w14:textId="77777777" w:rsidR="00AC279B" w:rsidRPr="00AC279B" w:rsidRDefault="00AC279B" w:rsidP="00AC279B">
      <w:pPr>
        <w:pStyle w:val="BodyText"/>
        <w:spacing w:before="36" w:line="278" w:lineRule="auto"/>
        <w:ind w:left="0" w:right="640"/>
        <w:jc w:val="center"/>
        <w:rPr>
          <w:rFonts w:ascii="Arial" w:hAnsi="Arial" w:cs="Arial"/>
          <w:sz w:val="22"/>
          <w:szCs w:val="22"/>
        </w:rPr>
      </w:pPr>
      <w:r w:rsidRPr="00AC279B">
        <w:rPr>
          <w:rFonts w:ascii="Arial" w:hAnsi="Arial" w:cs="Arial"/>
          <w:w w:val="105"/>
          <w:sz w:val="22"/>
          <w:szCs w:val="22"/>
        </w:rPr>
        <w:t xml:space="preserve">Latest released document is available via the Greene, Tweed &amp; Co. external website: </w:t>
      </w:r>
      <w:r w:rsidRPr="00AC279B">
        <w:rPr>
          <w:rFonts w:ascii="Arial" w:hAnsi="Arial" w:cs="Arial"/>
          <w:w w:val="105"/>
          <w:sz w:val="22"/>
          <w:szCs w:val="22"/>
          <w:u w:val="single"/>
        </w:rPr>
        <w:t>https://</w:t>
      </w:r>
      <w:hyperlink r:id="rId9">
        <w:r w:rsidRPr="00AC279B">
          <w:rPr>
            <w:rFonts w:ascii="Arial" w:hAnsi="Arial" w:cs="Arial"/>
            <w:w w:val="105"/>
            <w:sz w:val="22"/>
            <w:szCs w:val="22"/>
            <w:u w:val="single"/>
          </w:rPr>
          <w:t>www.gtweed.com/supplier-information/</w:t>
        </w:r>
      </w:hyperlink>
    </w:p>
    <w:p w14:paraId="34BEA414" w14:textId="77777777" w:rsidR="00AC279B" w:rsidRPr="00AC279B" w:rsidRDefault="00AC279B" w:rsidP="00AC279B">
      <w:pPr>
        <w:pStyle w:val="BodyText"/>
        <w:ind w:left="0"/>
        <w:jc w:val="center"/>
        <w:rPr>
          <w:rFonts w:ascii="Arial" w:hAnsi="Arial" w:cs="Arial"/>
          <w:sz w:val="22"/>
          <w:szCs w:val="22"/>
        </w:rPr>
      </w:pPr>
    </w:p>
    <w:p w14:paraId="10A957FA" w14:textId="77777777" w:rsidR="00AC279B" w:rsidRPr="00AC279B" w:rsidRDefault="00AC279B" w:rsidP="00AC279B">
      <w:pPr>
        <w:pStyle w:val="BodyText"/>
        <w:spacing w:before="7"/>
        <w:ind w:left="0"/>
        <w:jc w:val="center"/>
        <w:rPr>
          <w:rFonts w:ascii="Arial" w:hAnsi="Arial" w:cs="Arial"/>
          <w:sz w:val="22"/>
          <w:szCs w:val="22"/>
        </w:rPr>
      </w:pPr>
    </w:p>
    <w:p w14:paraId="4BA0DAF3" w14:textId="77777777" w:rsidR="00AC279B" w:rsidRPr="00AC279B" w:rsidRDefault="00AC279B" w:rsidP="00AC279B">
      <w:pPr>
        <w:pStyle w:val="BodyText"/>
        <w:spacing w:before="91"/>
        <w:ind w:left="0"/>
        <w:jc w:val="center"/>
        <w:rPr>
          <w:rFonts w:ascii="Arial" w:hAnsi="Arial" w:cs="Arial"/>
          <w:sz w:val="22"/>
          <w:szCs w:val="22"/>
        </w:rPr>
      </w:pPr>
      <w:r w:rsidRPr="00AC279B">
        <w:rPr>
          <w:rFonts w:ascii="Arial" w:hAnsi="Arial" w:cs="Arial"/>
          <w:sz w:val="22"/>
          <w:szCs w:val="22"/>
        </w:rPr>
        <w:t>Proprietary &amp; Confidential:  Property of Greene, Tweed, &amp; Co.</w:t>
      </w:r>
    </w:p>
    <w:p w14:paraId="2ED6D921" w14:textId="77777777" w:rsidR="004567BB" w:rsidRDefault="004567BB" w:rsidP="005E67E0">
      <w:pPr>
        <w:jc w:val="center"/>
        <w:rPr>
          <w:sz w:val="28"/>
          <w:szCs w:val="28"/>
        </w:rPr>
      </w:pPr>
    </w:p>
    <w:p w14:paraId="61096F46" w14:textId="77777777" w:rsidR="004567BB" w:rsidRDefault="004567BB" w:rsidP="005E67E0">
      <w:pPr>
        <w:jc w:val="center"/>
        <w:rPr>
          <w:sz w:val="28"/>
          <w:szCs w:val="28"/>
        </w:rPr>
      </w:pPr>
    </w:p>
    <w:p w14:paraId="64A2AA89" w14:textId="77777777" w:rsidR="004567BB" w:rsidRDefault="004567BB" w:rsidP="005E67E0">
      <w:pPr>
        <w:jc w:val="center"/>
        <w:rPr>
          <w:sz w:val="28"/>
          <w:szCs w:val="28"/>
        </w:rPr>
      </w:pPr>
    </w:p>
    <w:p w14:paraId="5505A794" w14:textId="54FABF7E" w:rsidR="004567BB" w:rsidRDefault="004567BB">
      <w:pPr>
        <w:spacing w:after="160"/>
        <w:rPr>
          <w:sz w:val="28"/>
          <w:szCs w:val="28"/>
        </w:rPr>
      </w:pPr>
      <w:r>
        <w:rPr>
          <w:sz w:val="28"/>
          <w:szCs w:val="28"/>
        </w:rPr>
        <w:br w:type="page"/>
      </w:r>
    </w:p>
    <w:p w14:paraId="24276691" w14:textId="77777777" w:rsidR="00066290" w:rsidRPr="000E144C" w:rsidRDefault="00066290" w:rsidP="000E144C">
      <w:pPr>
        <w:jc w:val="center"/>
        <w:rPr>
          <w:b/>
          <w:bCs/>
          <w:sz w:val="22"/>
        </w:rPr>
      </w:pPr>
      <w:bookmarkStart w:id="0" w:name="_Hlk70417419"/>
      <w:bookmarkStart w:id="1" w:name="TableOfContents"/>
      <w:r w:rsidRPr="000E144C">
        <w:rPr>
          <w:b/>
          <w:bCs/>
          <w:sz w:val="22"/>
        </w:rPr>
        <w:lastRenderedPageBreak/>
        <w:t>TABLE OF CONTENTS</w:t>
      </w:r>
      <w:bookmarkEnd w:id="0"/>
    </w:p>
    <w:bookmarkEnd w:id="1"/>
    <w:p w14:paraId="169694BB" w14:textId="77777777" w:rsidR="00066290" w:rsidRPr="00A02806" w:rsidRDefault="00066290" w:rsidP="00066290">
      <w:pPr>
        <w:tabs>
          <w:tab w:val="left" w:pos="187"/>
          <w:tab w:val="left" w:pos="547"/>
          <w:tab w:val="left" w:pos="1267"/>
          <w:tab w:val="left" w:pos="2160"/>
          <w:tab w:val="left" w:pos="3240"/>
          <w:tab w:val="left" w:pos="4507"/>
          <w:tab w:val="left" w:pos="5947"/>
          <w:tab w:val="left" w:pos="7560"/>
        </w:tabs>
        <w:jc w:val="center"/>
        <w:rPr>
          <w:rFonts w:cs="Arial"/>
          <w:bCs/>
          <w:color w:val="000000" w:themeColor="text1"/>
          <w:szCs w:val="20"/>
        </w:rPr>
      </w:pPr>
    </w:p>
    <w:p w14:paraId="0E1BEC77" w14:textId="59A91F9F" w:rsidR="00A26A3A" w:rsidRDefault="00066290">
      <w:pPr>
        <w:pStyle w:val="TOC1"/>
        <w:rPr>
          <w:rFonts w:asciiTheme="minorHAnsi" w:eastAsiaTheme="minorEastAsia" w:hAnsiTheme="minorHAnsi" w:cstheme="minorBidi"/>
          <w:noProof/>
          <w:kern w:val="2"/>
          <w:sz w:val="24"/>
          <w:szCs w:val="24"/>
          <w14:ligatures w14:val="standardContextual"/>
        </w:rPr>
      </w:pPr>
      <w:r w:rsidRPr="00066290">
        <w:fldChar w:fldCharType="begin"/>
      </w:r>
      <w:r w:rsidRPr="00066290">
        <w:instrText xml:space="preserve"> TOC \o "1-3" \h \z \t "kj 00    1.0,1,kj 02    1.2,2" </w:instrText>
      </w:r>
      <w:r w:rsidRPr="00066290">
        <w:fldChar w:fldCharType="separate"/>
      </w:r>
      <w:hyperlink w:anchor="_Toc161133553" w:history="1">
        <w:r w:rsidR="00A26A3A" w:rsidRPr="00822C81">
          <w:rPr>
            <w:rStyle w:val="Hyperlink"/>
            <w:noProof/>
          </w:rPr>
          <w:t>1.0</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Purpose</w:t>
        </w:r>
        <w:r w:rsidR="00A26A3A">
          <w:rPr>
            <w:noProof/>
            <w:webHidden/>
          </w:rPr>
          <w:tab/>
        </w:r>
        <w:r w:rsidR="00A26A3A">
          <w:rPr>
            <w:noProof/>
            <w:webHidden/>
          </w:rPr>
          <w:fldChar w:fldCharType="begin"/>
        </w:r>
        <w:r w:rsidR="00A26A3A">
          <w:rPr>
            <w:noProof/>
            <w:webHidden/>
          </w:rPr>
          <w:instrText xml:space="preserve"> PAGEREF _Toc161133553 \h </w:instrText>
        </w:r>
        <w:r w:rsidR="00A26A3A">
          <w:rPr>
            <w:noProof/>
            <w:webHidden/>
          </w:rPr>
        </w:r>
        <w:r w:rsidR="00A26A3A">
          <w:rPr>
            <w:noProof/>
            <w:webHidden/>
          </w:rPr>
          <w:fldChar w:fldCharType="separate"/>
        </w:r>
        <w:r w:rsidR="00D93EDF">
          <w:rPr>
            <w:noProof/>
            <w:webHidden/>
          </w:rPr>
          <w:t>4</w:t>
        </w:r>
        <w:r w:rsidR="00A26A3A">
          <w:rPr>
            <w:noProof/>
            <w:webHidden/>
          </w:rPr>
          <w:fldChar w:fldCharType="end"/>
        </w:r>
      </w:hyperlink>
    </w:p>
    <w:p w14:paraId="604B3A5D" w14:textId="53AF34E0" w:rsidR="00A26A3A" w:rsidRDefault="001D5FBA">
      <w:pPr>
        <w:pStyle w:val="TOC1"/>
        <w:rPr>
          <w:rFonts w:asciiTheme="minorHAnsi" w:eastAsiaTheme="minorEastAsia" w:hAnsiTheme="minorHAnsi" w:cstheme="minorBidi"/>
          <w:noProof/>
          <w:kern w:val="2"/>
          <w:sz w:val="24"/>
          <w:szCs w:val="24"/>
          <w14:ligatures w14:val="standardContextual"/>
        </w:rPr>
      </w:pPr>
      <w:hyperlink w:anchor="_Toc161133554" w:history="1">
        <w:r w:rsidR="00A26A3A" w:rsidRPr="00822C81">
          <w:rPr>
            <w:rStyle w:val="Hyperlink"/>
            <w:noProof/>
          </w:rPr>
          <w:t>2.0</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Business Practices</w:t>
        </w:r>
        <w:r w:rsidR="00A26A3A">
          <w:rPr>
            <w:noProof/>
            <w:webHidden/>
          </w:rPr>
          <w:tab/>
        </w:r>
        <w:r w:rsidR="00A26A3A">
          <w:rPr>
            <w:noProof/>
            <w:webHidden/>
          </w:rPr>
          <w:fldChar w:fldCharType="begin"/>
        </w:r>
        <w:r w:rsidR="00A26A3A">
          <w:rPr>
            <w:noProof/>
            <w:webHidden/>
          </w:rPr>
          <w:instrText xml:space="preserve"> PAGEREF _Toc161133554 \h </w:instrText>
        </w:r>
        <w:r w:rsidR="00A26A3A">
          <w:rPr>
            <w:noProof/>
            <w:webHidden/>
          </w:rPr>
        </w:r>
        <w:r w:rsidR="00A26A3A">
          <w:rPr>
            <w:noProof/>
            <w:webHidden/>
          </w:rPr>
          <w:fldChar w:fldCharType="separate"/>
        </w:r>
        <w:r w:rsidR="00D93EDF">
          <w:rPr>
            <w:noProof/>
            <w:webHidden/>
          </w:rPr>
          <w:t>4</w:t>
        </w:r>
        <w:r w:rsidR="00A26A3A">
          <w:rPr>
            <w:noProof/>
            <w:webHidden/>
          </w:rPr>
          <w:fldChar w:fldCharType="end"/>
        </w:r>
      </w:hyperlink>
    </w:p>
    <w:p w14:paraId="410AF746" w14:textId="648A0029"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55" w:history="1">
        <w:r w:rsidR="00A26A3A" w:rsidRPr="00822C81">
          <w:rPr>
            <w:rStyle w:val="Hyperlink"/>
            <w:noProof/>
          </w:rPr>
          <w:t>2.1</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Vision</w:t>
        </w:r>
        <w:r w:rsidR="00A26A3A">
          <w:rPr>
            <w:noProof/>
            <w:webHidden/>
          </w:rPr>
          <w:tab/>
        </w:r>
        <w:r w:rsidR="00A26A3A">
          <w:rPr>
            <w:noProof/>
            <w:webHidden/>
          </w:rPr>
          <w:fldChar w:fldCharType="begin"/>
        </w:r>
        <w:r w:rsidR="00A26A3A">
          <w:rPr>
            <w:noProof/>
            <w:webHidden/>
          </w:rPr>
          <w:instrText xml:space="preserve"> PAGEREF _Toc161133555 \h </w:instrText>
        </w:r>
        <w:r w:rsidR="00A26A3A">
          <w:rPr>
            <w:noProof/>
            <w:webHidden/>
          </w:rPr>
        </w:r>
        <w:r w:rsidR="00A26A3A">
          <w:rPr>
            <w:noProof/>
            <w:webHidden/>
          </w:rPr>
          <w:fldChar w:fldCharType="separate"/>
        </w:r>
        <w:r w:rsidR="00D93EDF">
          <w:rPr>
            <w:noProof/>
            <w:webHidden/>
          </w:rPr>
          <w:t>4</w:t>
        </w:r>
        <w:r w:rsidR="00A26A3A">
          <w:rPr>
            <w:noProof/>
            <w:webHidden/>
          </w:rPr>
          <w:fldChar w:fldCharType="end"/>
        </w:r>
      </w:hyperlink>
    </w:p>
    <w:p w14:paraId="5CBD0B13" w14:textId="528097CC"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56" w:history="1">
        <w:r w:rsidR="00A26A3A" w:rsidRPr="00822C81">
          <w:rPr>
            <w:rStyle w:val="Hyperlink"/>
            <w:noProof/>
          </w:rPr>
          <w:t>2.2</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Quality Policy</w:t>
        </w:r>
        <w:r w:rsidR="00A26A3A">
          <w:rPr>
            <w:noProof/>
            <w:webHidden/>
          </w:rPr>
          <w:tab/>
        </w:r>
        <w:r w:rsidR="00A26A3A">
          <w:rPr>
            <w:noProof/>
            <w:webHidden/>
          </w:rPr>
          <w:fldChar w:fldCharType="begin"/>
        </w:r>
        <w:r w:rsidR="00A26A3A">
          <w:rPr>
            <w:noProof/>
            <w:webHidden/>
          </w:rPr>
          <w:instrText xml:space="preserve"> PAGEREF _Toc161133556 \h </w:instrText>
        </w:r>
        <w:r w:rsidR="00A26A3A">
          <w:rPr>
            <w:noProof/>
            <w:webHidden/>
          </w:rPr>
        </w:r>
        <w:r w:rsidR="00A26A3A">
          <w:rPr>
            <w:noProof/>
            <w:webHidden/>
          </w:rPr>
          <w:fldChar w:fldCharType="separate"/>
        </w:r>
        <w:r w:rsidR="00D93EDF">
          <w:rPr>
            <w:noProof/>
            <w:webHidden/>
          </w:rPr>
          <w:t>4</w:t>
        </w:r>
        <w:r w:rsidR="00A26A3A">
          <w:rPr>
            <w:noProof/>
            <w:webHidden/>
          </w:rPr>
          <w:fldChar w:fldCharType="end"/>
        </w:r>
      </w:hyperlink>
    </w:p>
    <w:p w14:paraId="5B5EBF27" w14:textId="6D1D52BB"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57" w:history="1">
        <w:r w:rsidR="00A26A3A" w:rsidRPr="00822C81">
          <w:rPr>
            <w:rStyle w:val="Hyperlink"/>
            <w:noProof/>
          </w:rPr>
          <w:t>2.3</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Ethics</w:t>
        </w:r>
        <w:r w:rsidR="00A26A3A">
          <w:rPr>
            <w:noProof/>
            <w:webHidden/>
          </w:rPr>
          <w:tab/>
        </w:r>
        <w:r w:rsidR="00A26A3A">
          <w:rPr>
            <w:noProof/>
            <w:webHidden/>
          </w:rPr>
          <w:fldChar w:fldCharType="begin"/>
        </w:r>
        <w:r w:rsidR="00A26A3A">
          <w:rPr>
            <w:noProof/>
            <w:webHidden/>
          </w:rPr>
          <w:instrText xml:space="preserve"> PAGEREF _Toc161133557 \h </w:instrText>
        </w:r>
        <w:r w:rsidR="00A26A3A">
          <w:rPr>
            <w:noProof/>
            <w:webHidden/>
          </w:rPr>
        </w:r>
        <w:r w:rsidR="00A26A3A">
          <w:rPr>
            <w:noProof/>
            <w:webHidden/>
          </w:rPr>
          <w:fldChar w:fldCharType="separate"/>
        </w:r>
        <w:r w:rsidR="00D93EDF">
          <w:rPr>
            <w:noProof/>
            <w:webHidden/>
          </w:rPr>
          <w:t>5</w:t>
        </w:r>
        <w:r w:rsidR="00A26A3A">
          <w:rPr>
            <w:noProof/>
            <w:webHidden/>
          </w:rPr>
          <w:fldChar w:fldCharType="end"/>
        </w:r>
      </w:hyperlink>
    </w:p>
    <w:p w14:paraId="5CD8208B" w14:textId="3B6FF777"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58" w:history="1">
        <w:r w:rsidR="00A26A3A" w:rsidRPr="00822C81">
          <w:rPr>
            <w:rStyle w:val="Hyperlink"/>
            <w:noProof/>
          </w:rPr>
          <w:t>2.4</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Audits and Visits</w:t>
        </w:r>
        <w:r w:rsidR="00A26A3A">
          <w:rPr>
            <w:noProof/>
            <w:webHidden/>
          </w:rPr>
          <w:tab/>
        </w:r>
        <w:r w:rsidR="00A26A3A">
          <w:rPr>
            <w:noProof/>
            <w:webHidden/>
          </w:rPr>
          <w:fldChar w:fldCharType="begin"/>
        </w:r>
        <w:r w:rsidR="00A26A3A">
          <w:rPr>
            <w:noProof/>
            <w:webHidden/>
          </w:rPr>
          <w:instrText xml:space="preserve"> PAGEREF _Toc161133558 \h </w:instrText>
        </w:r>
        <w:r w:rsidR="00A26A3A">
          <w:rPr>
            <w:noProof/>
            <w:webHidden/>
          </w:rPr>
        </w:r>
        <w:r w:rsidR="00A26A3A">
          <w:rPr>
            <w:noProof/>
            <w:webHidden/>
          </w:rPr>
          <w:fldChar w:fldCharType="separate"/>
        </w:r>
        <w:r w:rsidR="00D93EDF">
          <w:rPr>
            <w:noProof/>
            <w:webHidden/>
          </w:rPr>
          <w:t>6</w:t>
        </w:r>
        <w:r w:rsidR="00A26A3A">
          <w:rPr>
            <w:noProof/>
            <w:webHidden/>
          </w:rPr>
          <w:fldChar w:fldCharType="end"/>
        </w:r>
      </w:hyperlink>
    </w:p>
    <w:p w14:paraId="6A656B7B" w14:textId="6C8C260B"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59" w:history="1">
        <w:r w:rsidR="00A26A3A" w:rsidRPr="00822C81">
          <w:rPr>
            <w:rStyle w:val="Hyperlink"/>
            <w:noProof/>
          </w:rPr>
          <w:t>2.5</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E-Business Capability</w:t>
        </w:r>
        <w:r w:rsidR="00A26A3A">
          <w:rPr>
            <w:noProof/>
            <w:webHidden/>
          </w:rPr>
          <w:tab/>
        </w:r>
        <w:r w:rsidR="00A26A3A">
          <w:rPr>
            <w:noProof/>
            <w:webHidden/>
          </w:rPr>
          <w:fldChar w:fldCharType="begin"/>
        </w:r>
        <w:r w:rsidR="00A26A3A">
          <w:rPr>
            <w:noProof/>
            <w:webHidden/>
          </w:rPr>
          <w:instrText xml:space="preserve"> PAGEREF _Toc161133559 \h </w:instrText>
        </w:r>
        <w:r w:rsidR="00A26A3A">
          <w:rPr>
            <w:noProof/>
            <w:webHidden/>
          </w:rPr>
        </w:r>
        <w:r w:rsidR="00A26A3A">
          <w:rPr>
            <w:noProof/>
            <w:webHidden/>
          </w:rPr>
          <w:fldChar w:fldCharType="separate"/>
        </w:r>
        <w:r w:rsidR="00D93EDF">
          <w:rPr>
            <w:noProof/>
            <w:webHidden/>
          </w:rPr>
          <w:t>6</w:t>
        </w:r>
        <w:r w:rsidR="00A26A3A">
          <w:rPr>
            <w:noProof/>
            <w:webHidden/>
          </w:rPr>
          <w:fldChar w:fldCharType="end"/>
        </w:r>
      </w:hyperlink>
    </w:p>
    <w:p w14:paraId="4FD9389B" w14:textId="3FEA16E2"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60" w:history="1">
        <w:r w:rsidR="00A26A3A" w:rsidRPr="00822C81">
          <w:rPr>
            <w:rStyle w:val="Hyperlink"/>
            <w:noProof/>
          </w:rPr>
          <w:t>2.6</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Certifications</w:t>
        </w:r>
        <w:r w:rsidR="00A26A3A">
          <w:rPr>
            <w:noProof/>
            <w:webHidden/>
          </w:rPr>
          <w:tab/>
        </w:r>
        <w:r w:rsidR="00A26A3A">
          <w:rPr>
            <w:noProof/>
            <w:webHidden/>
          </w:rPr>
          <w:fldChar w:fldCharType="begin"/>
        </w:r>
        <w:r w:rsidR="00A26A3A">
          <w:rPr>
            <w:noProof/>
            <w:webHidden/>
          </w:rPr>
          <w:instrText xml:space="preserve"> PAGEREF _Toc161133560 \h </w:instrText>
        </w:r>
        <w:r w:rsidR="00A26A3A">
          <w:rPr>
            <w:noProof/>
            <w:webHidden/>
          </w:rPr>
        </w:r>
        <w:r w:rsidR="00A26A3A">
          <w:rPr>
            <w:noProof/>
            <w:webHidden/>
          </w:rPr>
          <w:fldChar w:fldCharType="separate"/>
        </w:r>
        <w:r w:rsidR="00D93EDF">
          <w:rPr>
            <w:noProof/>
            <w:webHidden/>
          </w:rPr>
          <w:t>7</w:t>
        </w:r>
        <w:r w:rsidR="00A26A3A">
          <w:rPr>
            <w:noProof/>
            <w:webHidden/>
          </w:rPr>
          <w:fldChar w:fldCharType="end"/>
        </w:r>
      </w:hyperlink>
    </w:p>
    <w:p w14:paraId="5B5D73DD" w14:textId="6C743A94"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61" w:history="1">
        <w:r w:rsidR="00A26A3A" w:rsidRPr="00822C81">
          <w:rPr>
            <w:rStyle w:val="Hyperlink"/>
            <w:noProof/>
          </w:rPr>
          <w:t>2.7</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Communications</w:t>
        </w:r>
        <w:r w:rsidR="00A26A3A">
          <w:rPr>
            <w:noProof/>
            <w:webHidden/>
          </w:rPr>
          <w:tab/>
        </w:r>
        <w:r w:rsidR="00A26A3A">
          <w:rPr>
            <w:noProof/>
            <w:webHidden/>
          </w:rPr>
          <w:fldChar w:fldCharType="begin"/>
        </w:r>
        <w:r w:rsidR="00A26A3A">
          <w:rPr>
            <w:noProof/>
            <w:webHidden/>
          </w:rPr>
          <w:instrText xml:space="preserve"> PAGEREF _Toc161133561 \h </w:instrText>
        </w:r>
        <w:r w:rsidR="00A26A3A">
          <w:rPr>
            <w:noProof/>
            <w:webHidden/>
          </w:rPr>
        </w:r>
        <w:r w:rsidR="00A26A3A">
          <w:rPr>
            <w:noProof/>
            <w:webHidden/>
          </w:rPr>
          <w:fldChar w:fldCharType="separate"/>
        </w:r>
        <w:r w:rsidR="00D93EDF">
          <w:rPr>
            <w:noProof/>
            <w:webHidden/>
          </w:rPr>
          <w:t>7</w:t>
        </w:r>
        <w:r w:rsidR="00A26A3A">
          <w:rPr>
            <w:noProof/>
            <w:webHidden/>
          </w:rPr>
          <w:fldChar w:fldCharType="end"/>
        </w:r>
      </w:hyperlink>
    </w:p>
    <w:p w14:paraId="2B32D228" w14:textId="6B1E74DC"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62" w:history="1">
        <w:r w:rsidR="00A26A3A" w:rsidRPr="00822C81">
          <w:rPr>
            <w:rStyle w:val="Hyperlink"/>
            <w:noProof/>
          </w:rPr>
          <w:t>2.8</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Confidentiality</w:t>
        </w:r>
        <w:r w:rsidR="00A26A3A">
          <w:rPr>
            <w:noProof/>
            <w:webHidden/>
          </w:rPr>
          <w:tab/>
        </w:r>
        <w:r w:rsidR="00A26A3A">
          <w:rPr>
            <w:noProof/>
            <w:webHidden/>
          </w:rPr>
          <w:fldChar w:fldCharType="begin"/>
        </w:r>
        <w:r w:rsidR="00A26A3A">
          <w:rPr>
            <w:noProof/>
            <w:webHidden/>
          </w:rPr>
          <w:instrText xml:space="preserve"> PAGEREF _Toc161133562 \h </w:instrText>
        </w:r>
        <w:r w:rsidR="00A26A3A">
          <w:rPr>
            <w:noProof/>
            <w:webHidden/>
          </w:rPr>
        </w:r>
        <w:r w:rsidR="00A26A3A">
          <w:rPr>
            <w:noProof/>
            <w:webHidden/>
          </w:rPr>
          <w:fldChar w:fldCharType="separate"/>
        </w:r>
        <w:r w:rsidR="00D93EDF">
          <w:rPr>
            <w:noProof/>
            <w:webHidden/>
          </w:rPr>
          <w:t>8</w:t>
        </w:r>
        <w:r w:rsidR="00A26A3A">
          <w:rPr>
            <w:noProof/>
            <w:webHidden/>
          </w:rPr>
          <w:fldChar w:fldCharType="end"/>
        </w:r>
      </w:hyperlink>
    </w:p>
    <w:p w14:paraId="57B51F72" w14:textId="5FE586BC"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63" w:history="1">
        <w:r w:rsidR="00A26A3A" w:rsidRPr="00822C81">
          <w:rPr>
            <w:rStyle w:val="Hyperlink"/>
            <w:noProof/>
          </w:rPr>
          <w:t>2.9</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Counterfeit and Fraudulent Material Prevention</w:t>
        </w:r>
        <w:r w:rsidR="00A26A3A">
          <w:rPr>
            <w:noProof/>
            <w:webHidden/>
          </w:rPr>
          <w:tab/>
        </w:r>
        <w:r w:rsidR="00A26A3A">
          <w:rPr>
            <w:noProof/>
            <w:webHidden/>
          </w:rPr>
          <w:fldChar w:fldCharType="begin"/>
        </w:r>
        <w:r w:rsidR="00A26A3A">
          <w:rPr>
            <w:noProof/>
            <w:webHidden/>
          </w:rPr>
          <w:instrText xml:space="preserve"> PAGEREF _Toc161133563 \h </w:instrText>
        </w:r>
        <w:r w:rsidR="00A26A3A">
          <w:rPr>
            <w:noProof/>
            <w:webHidden/>
          </w:rPr>
        </w:r>
        <w:r w:rsidR="00A26A3A">
          <w:rPr>
            <w:noProof/>
            <w:webHidden/>
          </w:rPr>
          <w:fldChar w:fldCharType="separate"/>
        </w:r>
        <w:r w:rsidR="00D93EDF">
          <w:rPr>
            <w:noProof/>
            <w:webHidden/>
          </w:rPr>
          <w:t>8</w:t>
        </w:r>
        <w:r w:rsidR="00A26A3A">
          <w:rPr>
            <w:noProof/>
            <w:webHidden/>
          </w:rPr>
          <w:fldChar w:fldCharType="end"/>
        </w:r>
      </w:hyperlink>
    </w:p>
    <w:p w14:paraId="5A844D3A" w14:textId="633C4675"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64" w:history="1">
        <w:r w:rsidR="00A26A3A" w:rsidRPr="00822C81">
          <w:rPr>
            <w:rStyle w:val="Hyperlink"/>
            <w:noProof/>
          </w:rPr>
          <w:t>2.10</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Payment of Invoices</w:t>
        </w:r>
        <w:r w:rsidR="00A26A3A">
          <w:rPr>
            <w:noProof/>
            <w:webHidden/>
          </w:rPr>
          <w:tab/>
        </w:r>
        <w:r w:rsidR="00A26A3A">
          <w:rPr>
            <w:noProof/>
            <w:webHidden/>
          </w:rPr>
          <w:fldChar w:fldCharType="begin"/>
        </w:r>
        <w:r w:rsidR="00A26A3A">
          <w:rPr>
            <w:noProof/>
            <w:webHidden/>
          </w:rPr>
          <w:instrText xml:space="preserve"> PAGEREF _Toc161133564 \h </w:instrText>
        </w:r>
        <w:r w:rsidR="00A26A3A">
          <w:rPr>
            <w:noProof/>
            <w:webHidden/>
          </w:rPr>
        </w:r>
        <w:r w:rsidR="00A26A3A">
          <w:rPr>
            <w:noProof/>
            <w:webHidden/>
          </w:rPr>
          <w:fldChar w:fldCharType="separate"/>
        </w:r>
        <w:r w:rsidR="00D93EDF">
          <w:rPr>
            <w:noProof/>
            <w:webHidden/>
          </w:rPr>
          <w:t>9</w:t>
        </w:r>
        <w:r w:rsidR="00A26A3A">
          <w:rPr>
            <w:noProof/>
            <w:webHidden/>
          </w:rPr>
          <w:fldChar w:fldCharType="end"/>
        </w:r>
      </w:hyperlink>
    </w:p>
    <w:p w14:paraId="20938ABB" w14:textId="57DAFD2C"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65" w:history="1">
        <w:r w:rsidR="00A26A3A" w:rsidRPr="00822C81">
          <w:rPr>
            <w:rStyle w:val="Hyperlink"/>
            <w:noProof/>
          </w:rPr>
          <w:t>2.11</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Performance Expectations</w:t>
        </w:r>
        <w:r w:rsidR="00A26A3A">
          <w:rPr>
            <w:noProof/>
            <w:webHidden/>
          </w:rPr>
          <w:tab/>
        </w:r>
        <w:r w:rsidR="00A26A3A">
          <w:rPr>
            <w:noProof/>
            <w:webHidden/>
          </w:rPr>
          <w:fldChar w:fldCharType="begin"/>
        </w:r>
        <w:r w:rsidR="00A26A3A">
          <w:rPr>
            <w:noProof/>
            <w:webHidden/>
          </w:rPr>
          <w:instrText xml:space="preserve"> PAGEREF _Toc161133565 \h </w:instrText>
        </w:r>
        <w:r w:rsidR="00A26A3A">
          <w:rPr>
            <w:noProof/>
            <w:webHidden/>
          </w:rPr>
        </w:r>
        <w:r w:rsidR="00A26A3A">
          <w:rPr>
            <w:noProof/>
            <w:webHidden/>
          </w:rPr>
          <w:fldChar w:fldCharType="separate"/>
        </w:r>
        <w:r w:rsidR="00D93EDF">
          <w:rPr>
            <w:noProof/>
            <w:webHidden/>
          </w:rPr>
          <w:t>9</w:t>
        </w:r>
        <w:r w:rsidR="00A26A3A">
          <w:rPr>
            <w:noProof/>
            <w:webHidden/>
          </w:rPr>
          <w:fldChar w:fldCharType="end"/>
        </w:r>
      </w:hyperlink>
    </w:p>
    <w:p w14:paraId="573DE78C" w14:textId="0432D67B"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66" w:history="1">
        <w:r w:rsidR="00A26A3A" w:rsidRPr="00822C81">
          <w:rPr>
            <w:rStyle w:val="Hyperlink"/>
            <w:noProof/>
          </w:rPr>
          <w:t>2.12</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Safety and Insurance</w:t>
        </w:r>
        <w:r w:rsidR="00A26A3A">
          <w:rPr>
            <w:noProof/>
            <w:webHidden/>
          </w:rPr>
          <w:tab/>
        </w:r>
        <w:r w:rsidR="00A26A3A">
          <w:rPr>
            <w:noProof/>
            <w:webHidden/>
          </w:rPr>
          <w:fldChar w:fldCharType="begin"/>
        </w:r>
        <w:r w:rsidR="00A26A3A">
          <w:rPr>
            <w:noProof/>
            <w:webHidden/>
          </w:rPr>
          <w:instrText xml:space="preserve"> PAGEREF _Toc161133566 \h </w:instrText>
        </w:r>
        <w:r w:rsidR="00A26A3A">
          <w:rPr>
            <w:noProof/>
            <w:webHidden/>
          </w:rPr>
        </w:r>
        <w:r w:rsidR="00A26A3A">
          <w:rPr>
            <w:noProof/>
            <w:webHidden/>
          </w:rPr>
          <w:fldChar w:fldCharType="separate"/>
        </w:r>
        <w:r w:rsidR="00D93EDF">
          <w:rPr>
            <w:noProof/>
            <w:webHidden/>
          </w:rPr>
          <w:t>9</w:t>
        </w:r>
        <w:r w:rsidR="00A26A3A">
          <w:rPr>
            <w:noProof/>
            <w:webHidden/>
          </w:rPr>
          <w:fldChar w:fldCharType="end"/>
        </w:r>
      </w:hyperlink>
    </w:p>
    <w:p w14:paraId="7CE8C7DD" w14:textId="115EEEF3"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67" w:history="1">
        <w:r w:rsidR="00A26A3A" w:rsidRPr="00822C81">
          <w:rPr>
            <w:rStyle w:val="Hyperlink"/>
            <w:noProof/>
          </w:rPr>
          <w:t>2.13</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Terms and Conditions</w:t>
        </w:r>
        <w:r w:rsidR="00A26A3A">
          <w:rPr>
            <w:noProof/>
            <w:webHidden/>
          </w:rPr>
          <w:tab/>
        </w:r>
        <w:r w:rsidR="00A26A3A">
          <w:rPr>
            <w:noProof/>
            <w:webHidden/>
          </w:rPr>
          <w:fldChar w:fldCharType="begin"/>
        </w:r>
        <w:r w:rsidR="00A26A3A">
          <w:rPr>
            <w:noProof/>
            <w:webHidden/>
          </w:rPr>
          <w:instrText xml:space="preserve"> PAGEREF _Toc161133567 \h </w:instrText>
        </w:r>
        <w:r w:rsidR="00A26A3A">
          <w:rPr>
            <w:noProof/>
            <w:webHidden/>
          </w:rPr>
        </w:r>
        <w:r w:rsidR="00A26A3A">
          <w:rPr>
            <w:noProof/>
            <w:webHidden/>
          </w:rPr>
          <w:fldChar w:fldCharType="separate"/>
        </w:r>
        <w:r w:rsidR="00D93EDF">
          <w:rPr>
            <w:noProof/>
            <w:webHidden/>
          </w:rPr>
          <w:t>10</w:t>
        </w:r>
        <w:r w:rsidR="00A26A3A">
          <w:rPr>
            <w:noProof/>
            <w:webHidden/>
          </w:rPr>
          <w:fldChar w:fldCharType="end"/>
        </w:r>
      </w:hyperlink>
    </w:p>
    <w:p w14:paraId="0948599B" w14:textId="02406EC7"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68" w:history="1">
        <w:r w:rsidR="00A26A3A" w:rsidRPr="00822C81">
          <w:rPr>
            <w:rStyle w:val="Hyperlink"/>
            <w:noProof/>
          </w:rPr>
          <w:t>2.14</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Traceability</w:t>
        </w:r>
        <w:r w:rsidR="00A26A3A">
          <w:rPr>
            <w:noProof/>
            <w:webHidden/>
          </w:rPr>
          <w:tab/>
        </w:r>
        <w:r w:rsidR="00A26A3A">
          <w:rPr>
            <w:noProof/>
            <w:webHidden/>
          </w:rPr>
          <w:fldChar w:fldCharType="begin"/>
        </w:r>
        <w:r w:rsidR="00A26A3A">
          <w:rPr>
            <w:noProof/>
            <w:webHidden/>
          </w:rPr>
          <w:instrText xml:space="preserve"> PAGEREF _Toc161133568 \h </w:instrText>
        </w:r>
        <w:r w:rsidR="00A26A3A">
          <w:rPr>
            <w:noProof/>
            <w:webHidden/>
          </w:rPr>
        </w:r>
        <w:r w:rsidR="00A26A3A">
          <w:rPr>
            <w:noProof/>
            <w:webHidden/>
          </w:rPr>
          <w:fldChar w:fldCharType="separate"/>
        </w:r>
        <w:r w:rsidR="00D93EDF">
          <w:rPr>
            <w:noProof/>
            <w:webHidden/>
          </w:rPr>
          <w:t>10</w:t>
        </w:r>
        <w:r w:rsidR="00A26A3A">
          <w:rPr>
            <w:noProof/>
            <w:webHidden/>
          </w:rPr>
          <w:fldChar w:fldCharType="end"/>
        </w:r>
      </w:hyperlink>
    </w:p>
    <w:p w14:paraId="37A24D93" w14:textId="2415F75B" w:rsidR="00A26A3A" w:rsidRDefault="001D5FBA">
      <w:pPr>
        <w:pStyle w:val="TOC1"/>
        <w:rPr>
          <w:rFonts w:asciiTheme="minorHAnsi" w:eastAsiaTheme="minorEastAsia" w:hAnsiTheme="minorHAnsi" w:cstheme="minorBidi"/>
          <w:noProof/>
          <w:kern w:val="2"/>
          <w:sz w:val="24"/>
          <w:szCs w:val="24"/>
          <w14:ligatures w14:val="standardContextual"/>
        </w:rPr>
      </w:pPr>
      <w:hyperlink w:anchor="_Toc161133569" w:history="1">
        <w:r w:rsidR="00A26A3A" w:rsidRPr="00822C81">
          <w:rPr>
            <w:rStyle w:val="Hyperlink"/>
            <w:noProof/>
          </w:rPr>
          <w:t>3.0</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Regulatory and GT Compliance</w:t>
        </w:r>
        <w:r w:rsidR="00A26A3A">
          <w:rPr>
            <w:noProof/>
            <w:webHidden/>
          </w:rPr>
          <w:tab/>
        </w:r>
        <w:r w:rsidR="00A26A3A">
          <w:rPr>
            <w:noProof/>
            <w:webHidden/>
          </w:rPr>
          <w:fldChar w:fldCharType="begin"/>
        </w:r>
        <w:r w:rsidR="00A26A3A">
          <w:rPr>
            <w:noProof/>
            <w:webHidden/>
          </w:rPr>
          <w:instrText xml:space="preserve"> PAGEREF _Toc161133569 \h </w:instrText>
        </w:r>
        <w:r w:rsidR="00A26A3A">
          <w:rPr>
            <w:noProof/>
            <w:webHidden/>
          </w:rPr>
        </w:r>
        <w:r w:rsidR="00A26A3A">
          <w:rPr>
            <w:noProof/>
            <w:webHidden/>
          </w:rPr>
          <w:fldChar w:fldCharType="separate"/>
        </w:r>
        <w:r w:rsidR="00D93EDF">
          <w:rPr>
            <w:noProof/>
            <w:webHidden/>
          </w:rPr>
          <w:t>10</w:t>
        </w:r>
        <w:r w:rsidR="00A26A3A">
          <w:rPr>
            <w:noProof/>
            <w:webHidden/>
          </w:rPr>
          <w:fldChar w:fldCharType="end"/>
        </w:r>
      </w:hyperlink>
    </w:p>
    <w:p w14:paraId="6886D811" w14:textId="5C5B629C"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70" w:history="1">
        <w:r w:rsidR="00A26A3A" w:rsidRPr="00822C81">
          <w:rPr>
            <w:rStyle w:val="Hyperlink"/>
            <w:noProof/>
          </w:rPr>
          <w:t>3.3</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Conflict Minerals</w:t>
        </w:r>
        <w:r w:rsidR="00A26A3A">
          <w:rPr>
            <w:noProof/>
            <w:webHidden/>
          </w:rPr>
          <w:tab/>
        </w:r>
        <w:r w:rsidR="00A26A3A">
          <w:rPr>
            <w:noProof/>
            <w:webHidden/>
          </w:rPr>
          <w:fldChar w:fldCharType="begin"/>
        </w:r>
        <w:r w:rsidR="00A26A3A">
          <w:rPr>
            <w:noProof/>
            <w:webHidden/>
          </w:rPr>
          <w:instrText xml:space="preserve"> PAGEREF _Toc161133570 \h </w:instrText>
        </w:r>
        <w:r w:rsidR="00A26A3A">
          <w:rPr>
            <w:noProof/>
            <w:webHidden/>
          </w:rPr>
        </w:r>
        <w:r w:rsidR="00A26A3A">
          <w:rPr>
            <w:noProof/>
            <w:webHidden/>
          </w:rPr>
          <w:fldChar w:fldCharType="separate"/>
        </w:r>
        <w:r w:rsidR="00D93EDF">
          <w:rPr>
            <w:noProof/>
            <w:webHidden/>
          </w:rPr>
          <w:t>11</w:t>
        </w:r>
        <w:r w:rsidR="00A26A3A">
          <w:rPr>
            <w:noProof/>
            <w:webHidden/>
          </w:rPr>
          <w:fldChar w:fldCharType="end"/>
        </w:r>
      </w:hyperlink>
    </w:p>
    <w:p w14:paraId="181BF1F3" w14:textId="6466EFCD"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71" w:history="1">
        <w:r w:rsidR="00A26A3A" w:rsidRPr="00822C81">
          <w:rPr>
            <w:rStyle w:val="Hyperlink"/>
            <w:noProof/>
          </w:rPr>
          <w:t>3.4</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Copy Exact</w:t>
        </w:r>
        <w:r w:rsidR="00A26A3A">
          <w:rPr>
            <w:noProof/>
            <w:webHidden/>
          </w:rPr>
          <w:tab/>
        </w:r>
        <w:r w:rsidR="00A26A3A">
          <w:rPr>
            <w:noProof/>
            <w:webHidden/>
          </w:rPr>
          <w:fldChar w:fldCharType="begin"/>
        </w:r>
        <w:r w:rsidR="00A26A3A">
          <w:rPr>
            <w:noProof/>
            <w:webHidden/>
          </w:rPr>
          <w:instrText xml:space="preserve"> PAGEREF _Toc161133571 \h </w:instrText>
        </w:r>
        <w:r w:rsidR="00A26A3A">
          <w:rPr>
            <w:noProof/>
            <w:webHidden/>
          </w:rPr>
        </w:r>
        <w:r w:rsidR="00A26A3A">
          <w:rPr>
            <w:noProof/>
            <w:webHidden/>
          </w:rPr>
          <w:fldChar w:fldCharType="separate"/>
        </w:r>
        <w:r w:rsidR="00D93EDF">
          <w:rPr>
            <w:noProof/>
            <w:webHidden/>
          </w:rPr>
          <w:t>11</w:t>
        </w:r>
        <w:r w:rsidR="00A26A3A">
          <w:rPr>
            <w:noProof/>
            <w:webHidden/>
          </w:rPr>
          <w:fldChar w:fldCharType="end"/>
        </w:r>
      </w:hyperlink>
    </w:p>
    <w:p w14:paraId="031DAEBA" w14:textId="0317EE13"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72" w:history="1">
        <w:r w:rsidR="00A26A3A" w:rsidRPr="00822C81">
          <w:rPr>
            <w:rStyle w:val="Hyperlink"/>
            <w:noProof/>
          </w:rPr>
          <w:t>3.5</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Environmental Compliance</w:t>
        </w:r>
        <w:r w:rsidR="00A26A3A">
          <w:rPr>
            <w:noProof/>
            <w:webHidden/>
          </w:rPr>
          <w:tab/>
        </w:r>
        <w:r w:rsidR="00A26A3A">
          <w:rPr>
            <w:noProof/>
            <w:webHidden/>
          </w:rPr>
          <w:fldChar w:fldCharType="begin"/>
        </w:r>
        <w:r w:rsidR="00A26A3A">
          <w:rPr>
            <w:noProof/>
            <w:webHidden/>
          </w:rPr>
          <w:instrText xml:space="preserve"> PAGEREF _Toc161133572 \h </w:instrText>
        </w:r>
        <w:r w:rsidR="00A26A3A">
          <w:rPr>
            <w:noProof/>
            <w:webHidden/>
          </w:rPr>
        </w:r>
        <w:r w:rsidR="00A26A3A">
          <w:rPr>
            <w:noProof/>
            <w:webHidden/>
          </w:rPr>
          <w:fldChar w:fldCharType="separate"/>
        </w:r>
        <w:r w:rsidR="00D93EDF">
          <w:rPr>
            <w:noProof/>
            <w:webHidden/>
          </w:rPr>
          <w:t>12</w:t>
        </w:r>
        <w:r w:rsidR="00A26A3A">
          <w:rPr>
            <w:noProof/>
            <w:webHidden/>
          </w:rPr>
          <w:fldChar w:fldCharType="end"/>
        </w:r>
      </w:hyperlink>
    </w:p>
    <w:p w14:paraId="24C4D8EF" w14:textId="06E3FD45"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73" w:history="1">
        <w:r w:rsidR="00A26A3A" w:rsidRPr="00822C81">
          <w:rPr>
            <w:rStyle w:val="Hyperlink"/>
            <w:noProof/>
          </w:rPr>
          <w:t>3.6</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ITAR (International Traffic in Arms Regulations)</w:t>
        </w:r>
        <w:r w:rsidR="00A26A3A">
          <w:rPr>
            <w:noProof/>
            <w:webHidden/>
          </w:rPr>
          <w:tab/>
        </w:r>
        <w:r w:rsidR="00A26A3A">
          <w:rPr>
            <w:noProof/>
            <w:webHidden/>
          </w:rPr>
          <w:fldChar w:fldCharType="begin"/>
        </w:r>
        <w:r w:rsidR="00A26A3A">
          <w:rPr>
            <w:noProof/>
            <w:webHidden/>
          </w:rPr>
          <w:instrText xml:space="preserve"> PAGEREF _Toc161133573 \h </w:instrText>
        </w:r>
        <w:r w:rsidR="00A26A3A">
          <w:rPr>
            <w:noProof/>
            <w:webHidden/>
          </w:rPr>
        </w:r>
        <w:r w:rsidR="00A26A3A">
          <w:rPr>
            <w:noProof/>
            <w:webHidden/>
          </w:rPr>
          <w:fldChar w:fldCharType="separate"/>
        </w:r>
        <w:r w:rsidR="00D93EDF">
          <w:rPr>
            <w:noProof/>
            <w:webHidden/>
          </w:rPr>
          <w:t>12</w:t>
        </w:r>
        <w:r w:rsidR="00A26A3A">
          <w:rPr>
            <w:noProof/>
            <w:webHidden/>
          </w:rPr>
          <w:fldChar w:fldCharType="end"/>
        </w:r>
      </w:hyperlink>
    </w:p>
    <w:p w14:paraId="2EC3079E" w14:textId="362EC791"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74" w:history="1">
        <w:r w:rsidR="00A26A3A" w:rsidRPr="00822C81">
          <w:rPr>
            <w:rStyle w:val="Hyperlink"/>
            <w:noProof/>
          </w:rPr>
          <w:t>3.7</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PFAS (per- and Poly-Fluorinated Alkyl Substances)</w:t>
        </w:r>
        <w:r w:rsidR="00A26A3A">
          <w:rPr>
            <w:noProof/>
            <w:webHidden/>
          </w:rPr>
          <w:tab/>
        </w:r>
        <w:r w:rsidR="00A26A3A">
          <w:rPr>
            <w:noProof/>
            <w:webHidden/>
          </w:rPr>
          <w:fldChar w:fldCharType="begin"/>
        </w:r>
        <w:r w:rsidR="00A26A3A">
          <w:rPr>
            <w:noProof/>
            <w:webHidden/>
          </w:rPr>
          <w:instrText xml:space="preserve"> PAGEREF _Toc161133574 \h </w:instrText>
        </w:r>
        <w:r w:rsidR="00A26A3A">
          <w:rPr>
            <w:noProof/>
            <w:webHidden/>
          </w:rPr>
        </w:r>
        <w:r w:rsidR="00A26A3A">
          <w:rPr>
            <w:noProof/>
            <w:webHidden/>
          </w:rPr>
          <w:fldChar w:fldCharType="separate"/>
        </w:r>
        <w:r w:rsidR="00D93EDF">
          <w:rPr>
            <w:noProof/>
            <w:webHidden/>
          </w:rPr>
          <w:t>12</w:t>
        </w:r>
        <w:r w:rsidR="00A26A3A">
          <w:rPr>
            <w:noProof/>
            <w:webHidden/>
          </w:rPr>
          <w:fldChar w:fldCharType="end"/>
        </w:r>
      </w:hyperlink>
    </w:p>
    <w:p w14:paraId="0B080B1F" w14:textId="42F1D7E3"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75" w:history="1">
        <w:r w:rsidR="00A26A3A" w:rsidRPr="00822C81">
          <w:rPr>
            <w:rStyle w:val="Hyperlink"/>
            <w:noProof/>
          </w:rPr>
          <w:t>3.8</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REACH (Registration, Evaluation, Authorization and Restriction of Chemicals)</w:t>
        </w:r>
        <w:r w:rsidR="00A26A3A">
          <w:rPr>
            <w:noProof/>
            <w:webHidden/>
          </w:rPr>
          <w:tab/>
        </w:r>
        <w:r w:rsidR="00A26A3A">
          <w:rPr>
            <w:noProof/>
            <w:webHidden/>
          </w:rPr>
          <w:fldChar w:fldCharType="begin"/>
        </w:r>
        <w:r w:rsidR="00A26A3A">
          <w:rPr>
            <w:noProof/>
            <w:webHidden/>
          </w:rPr>
          <w:instrText xml:space="preserve"> PAGEREF _Toc161133575 \h </w:instrText>
        </w:r>
        <w:r w:rsidR="00A26A3A">
          <w:rPr>
            <w:noProof/>
            <w:webHidden/>
          </w:rPr>
        </w:r>
        <w:r w:rsidR="00A26A3A">
          <w:rPr>
            <w:noProof/>
            <w:webHidden/>
          </w:rPr>
          <w:fldChar w:fldCharType="separate"/>
        </w:r>
        <w:r w:rsidR="00D93EDF">
          <w:rPr>
            <w:noProof/>
            <w:webHidden/>
          </w:rPr>
          <w:t>13</w:t>
        </w:r>
        <w:r w:rsidR="00A26A3A">
          <w:rPr>
            <w:noProof/>
            <w:webHidden/>
          </w:rPr>
          <w:fldChar w:fldCharType="end"/>
        </w:r>
      </w:hyperlink>
    </w:p>
    <w:p w14:paraId="4E9F6C1E" w14:textId="7CCF5E79"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76" w:history="1">
        <w:r w:rsidR="00A26A3A" w:rsidRPr="00822C81">
          <w:rPr>
            <w:rStyle w:val="Hyperlink"/>
            <w:noProof/>
          </w:rPr>
          <w:t>3.9</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RoHS (Restriction of Hazardous Substances)</w:t>
        </w:r>
        <w:r w:rsidR="00A26A3A">
          <w:rPr>
            <w:noProof/>
            <w:webHidden/>
          </w:rPr>
          <w:tab/>
        </w:r>
        <w:r w:rsidR="00A26A3A">
          <w:rPr>
            <w:noProof/>
            <w:webHidden/>
          </w:rPr>
          <w:fldChar w:fldCharType="begin"/>
        </w:r>
        <w:r w:rsidR="00A26A3A">
          <w:rPr>
            <w:noProof/>
            <w:webHidden/>
          </w:rPr>
          <w:instrText xml:space="preserve"> PAGEREF _Toc161133576 \h </w:instrText>
        </w:r>
        <w:r w:rsidR="00A26A3A">
          <w:rPr>
            <w:noProof/>
            <w:webHidden/>
          </w:rPr>
        </w:r>
        <w:r w:rsidR="00A26A3A">
          <w:rPr>
            <w:noProof/>
            <w:webHidden/>
          </w:rPr>
          <w:fldChar w:fldCharType="separate"/>
        </w:r>
        <w:r w:rsidR="00D93EDF">
          <w:rPr>
            <w:noProof/>
            <w:webHidden/>
          </w:rPr>
          <w:t>13</w:t>
        </w:r>
        <w:r w:rsidR="00A26A3A">
          <w:rPr>
            <w:noProof/>
            <w:webHidden/>
          </w:rPr>
          <w:fldChar w:fldCharType="end"/>
        </w:r>
      </w:hyperlink>
    </w:p>
    <w:p w14:paraId="55039C28" w14:textId="6FA3167B"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77" w:history="1">
        <w:r w:rsidR="00A26A3A" w:rsidRPr="00822C81">
          <w:rPr>
            <w:rStyle w:val="Hyperlink"/>
            <w:noProof/>
          </w:rPr>
          <w:t>3.10</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Steel or Iron Products from Russia</w:t>
        </w:r>
        <w:r w:rsidR="00A26A3A">
          <w:rPr>
            <w:noProof/>
            <w:webHidden/>
          </w:rPr>
          <w:tab/>
        </w:r>
        <w:r w:rsidR="00A26A3A">
          <w:rPr>
            <w:noProof/>
            <w:webHidden/>
          </w:rPr>
          <w:fldChar w:fldCharType="begin"/>
        </w:r>
        <w:r w:rsidR="00A26A3A">
          <w:rPr>
            <w:noProof/>
            <w:webHidden/>
          </w:rPr>
          <w:instrText xml:space="preserve"> PAGEREF _Toc161133577 \h </w:instrText>
        </w:r>
        <w:r w:rsidR="00A26A3A">
          <w:rPr>
            <w:noProof/>
            <w:webHidden/>
          </w:rPr>
        </w:r>
        <w:r w:rsidR="00A26A3A">
          <w:rPr>
            <w:noProof/>
            <w:webHidden/>
          </w:rPr>
          <w:fldChar w:fldCharType="separate"/>
        </w:r>
        <w:r w:rsidR="00D93EDF">
          <w:rPr>
            <w:noProof/>
            <w:webHidden/>
          </w:rPr>
          <w:t>13</w:t>
        </w:r>
        <w:r w:rsidR="00A26A3A">
          <w:rPr>
            <w:noProof/>
            <w:webHidden/>
          </w:rPr>
          <w:fldChar w:fldCharType="end"/>
        </w:r>
      </w:hyperlink>
    </w:p>
    <w:p w14:paraId="068A7B88" w14:textId="23CF6F27"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78" w:history="1">
        <w:r w:rsidR="00A26A3A" w:rsidRPr="00822C81">
          <w:rPr>
            <w:rStyle w:val="Hyperlink"/>
            <w:noProof/>
          </w:rPr>
          <w:t>3.11</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TSCA (Toxic Substances Control Act)</w:t>
        </w:r>
        <w:r w:rsidR="00A26A3A">
          <w:rPr>
            <w:noProof/>
            <w:webHidden/>
          </w:rPr>
          <w:tab/>
        </w:r>
        <w:r w:rsidR="00A26A3A">
          <w:rPr>
            <w:noProof/>
            <w:webHidden/>
          </w:rPr>
          <w:fldChar w:fldCharType="begin"/>
        </w:r>
        <w:r w:rsidR="00A26A3A">
          <w:rPr>
            <w:noProof/>
            <w:webHidden/>
          </w:rPr>
          <w:instrText xml:space="preserve"> PAGEREF _Toc161133578 \h </w:instrText>
        </w:r>
        <w:r w:rsidR="00A26A3A">
          <w:rPr>
            <w:noProof/>
            <w:webHidden/>
          </w:rPr>
        </w:r>
        <w:r w:rsidR="00A26A3A">
          <w:rPr>
            <w:noProof/>
            <w:webHidden/>
          </w:rPr>
          <w:fldChar w:fldCharType="separate"/>
        </w:r>
        <w:r w:rsidR="00D93EDF">
          <w:rPr>
            <w:noProof/>
            <w:webHidden/>
          </w:rPr>
          <w:t>14</w:t>
        </w:r>
        <w:r w:rsidR="00A26A3A">
          <w:rPr>
            <w:noProof/>
            <w:webHidden/>
          </w:rPr>
          <w:fldChar w:fldCharType="end"/>
        </w:r>
      </w:hyperlink>
    </w:p>
    <w:p w14:paraId="09B1D173" w14:textId="560E95F2" w:rsidR="00A26A3A" w:rsidRDefault="001D5FBA">
      <w:pPr>
        <w:pStyle w:val="TOC1"/>
        <w:rPr>
          <w:rFonts w:asciiTheme="minorHAnsi" w:eastAsiaTheme="minorEastAsia" w:hAnsiTheme="minorHAnsi" w:cstheme="minorBidi"/>
          <w:noProof/>
          <w:kern w:val="2"/>
          <w:sz w:val="24"/>
          <w:szCs w:val="24"/>
          <w14:ligatures w14:val="standardContextual"/>
        </w:rPr>
      </w:pPr>
      <w:hyperlink w:anchor="_Toc161133579" w:history="1">
        <w:r w:rsidR="00A26A3A" w:rsidRPr="00822C81">
          <w:rPr>
            <w:rStyle w:val="Hyperlink"/>
            <w:noProof/>
          </w:rPr>
          <w:t>4.0</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Sourcing</w:t>
        </w:r>
        <w:r w:rsidR="00A26A3A">
          <w:rPr>
            <w:noProof/>
            <w:webHidden/>
          </w:rPr>
          <w:tab/>
        </w:r>
        <w:r w:rsidR="00A26A3A">
          <w:rPr>
            <w:noProof/>
            <w:webHidden/>
          </w:rPr>
          <w:fldChar w:fldCharType="begin"/>
        </w:r>
        <w:r w:rsidR="00A26A3A">
          <w:rPr>
            <w:noProof/>
            <w:webHidden/>
          </w:rPr>
          <w:instrText xml:space="preserve"> PAGEREF _Toc161133579 \h </w:instrText>
        </w:r>
        <w:r w:rsidR="00A26A3A">
          <w:rPr>
            <w:noProof/>
            <w:webHidden/>
          </w:rPr>
        </w:r>
        <w:r w:rsidR="00A26A3A">
          <w:rPr>
            <w:noProof/>
            <w:webHidden/>
          </w:rPr>
          <w:fldChar w:fldCharType="separate"/>
        </w:r>
        <w:r w:rsidR="00D93EDF">
          <w:rPr>
            <w:noProof/>
            <w:webHidden/>
          </w:rPr>
          <w:t>15</w:t>
        </w:r>
        <w:r w:rsidR="00A26A3A">
          <w:rPr>
            <w:noProof/>
            <w:webHidden/>
          </w:rPr>
          <w:fldChar w:fldCharType="end"/>
        </w:r>
      </w:hyperlink>
    </w:p>
    <w:p w14:paraId="05BCCF5F" w14:textId="5EEBC17B"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80" w:history="1">
        <w:r w:rsidR="00A26A3A" w:rsidRPr="00822C81">
          <w:rPr>
            <w:rStyle w:val="Hyperlink"/>
            <w:noProof/>
          </w:rPr>
          <w:t>4.1</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Supplier Approval</w:t>
        </w:r>
        <w:r w:rsidR="00A26A3A">
          <w:rPr>
            <w:noProof/>
            <w:webHidden/>
          </w:rPr>
          <w:tab/>
        </w:r>
        <w:r w:rsidR="00A26A3A">
          <w:rPr>
            <w:noProof/>
            <w:webHidden/>
          </w:rPr>
          <w:fldChar w:fldCharType="begin"/>
        </w:r>
        <w:r w:rsidR="00A26A3A">
          <w:rPr>
            <w:noProof/>
            <w:webHidden/>
          </w:rPr>
          <w:instrText xml:space="preserve"> PAGEREF _Toc161133580 \h </w:instrText>
        </w:r>
        <w:r w:rsidR="00A26A3A">
          <w:rPr>
            <w:noProof/>
            <w:webHidden/>
          </w:rPr>
        </w:r>
        <w:r w:rsidR="00A26A3A">
          <w:rPr>
            <w:noProof/>
            <w:webHidden/>
          </w:rPr>
          <w:fldChar w:fldCharType="separate"/>
        </w:r>
        <w:r w:rsidR="00D93EDF">
          <w:rPr>
            <w:noProof/>
            <w:webHidden/>
          </w:rPr>
          <w:t>15</w:t>
        </w:r>
        <w:r w:rsidR="00A26A3A">
          <w:rPr>
            <w:noProof/>
            <w:webHidden/>
          </w:rPr>
          <w:fldChar w:fldCharType="end"/>
        </w:r>
      </w:hyperlink>
    </w:p>
    <w:p w14:paraId="376C1188" w14:textId="035BC4C0"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81" w:history="1">
        <w:r w:rsidR="00A26A3A" w:rsidRPr="00822C81">
          <w:rPr>
            <w:rStyle w:val="Hyperlink"/>
            <w:noProof/>
          </w:rPr>
          <w:t>4.2</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Supplier Classification</w:t>
        </w:r>
        <w:r w:rsidR="00A26A3A">
          <w:rPr>
            <w:noProof/>
            <w:webHidden/>
          </w:rPr>
          <w:tab/>
        </w:r>
        <w:r w:rsidR="00A26A3A">
          <w:rPr>
            <w:noProof/>
            <w:webHidden/>
          </w:rPr>
          <w:fldChar w:fldCharType="begin"/>
        </w:r>
        <w:r w:rsidR="00A26A3A">
          <w:rPr>
            <w:noProof/>
            <w:webHidden/>
          </w:rPr>
          <w:instrText xml:space="preserve"> PAGEREF _Toc161133581 \h </w:instrText>
        </w:r>
        <w:r w:rsidR="00A26A3A">
          <w:rPr>
            <w:noProof/>
            <w:webHidden/>
          </w:rPr>
        </w:r>
        <w:r w:rsidR="00A26A3A">
          <w:rPr>
            <w:noProof/>
            <w:webHidden/>
          </w:rPr>
          <w:fldChar w:fldCharType="separate"/>
        </w:r>
        <w:r w:rsidR="00D93EDF">
          <w:rPr>
            <w:noProof/>
            <w:webHidden/>
          </w:rPr>
          <w:t>16</w:t>
        </w:r>
        <w:r w:rsidR="00A26A3A">
          <w:rPr>
            <w:noProof/>
            <w:webHidden/>
          </w:rPr>
          <w:fldChar w:fldCharType="end"/>
        </w:r>
      </w:hyperlink>
    </w:p>
    <w:p w14:paraId="47E953B7" w14:textId="61AEE26A"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82" w:history="1">
        <w:r w:rsidR="00A26A3A" w:rsidRPr="00822C81">
          <w:rPr>
            <w:rStyle w:val="Hyperlink"/>
            <w:noProof/>
          </w:rPr>
          <w:t>4.3</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Supplier Metrics</w:t>
        </w:r>
        <w:r w:rsidR="00A26A3A">
          <w:rPr>
            <w:noProof/>
            <w:webHidden/>
          </w:rPr>
          <w:tab/>
        </w:r>
        <w:r w:rsidR="00A26A3A">
          <w:rPr>
            <w:noProof/>
            <w:webHidden/>
          </w:rPr>
          <w:fldChar w:fldCharType="begin"/>
        </w:r>
        <w:r w:rsidR="00A26A3A">
          <w:rPr>
            <w:noProof/>
            <w:webHidden/>
          </w:rPr>
          <w:instrText xml:space="preserve"> PAGEREF _Toc161133582 \h </w:instrText>
        </w:r>
        <w:r w:rsidR="00A26A3A">
          <w:rPr>
            <w:noProof/>
            <w:webHidden/>
          </w:rPr>
        </w:r>
        <w:r w:rsidR="00A26A3A">
          <w:rPr>
            <w:noProof/>
            <w:webHidden/>
          </w:rPr>
          <w:fldChar w:fldCharType="separate"/>
        </w:r>
        <w:r w:rsidR="00D93EDF">
          <w:rPr>
            <w:noProof/>
            <w:webHidden/>
          </w:rPr>
          <w:t>17</w:t>
        </w:r>
        <w:r w:rsidR="00A26A3A">
          <w:rPr>
            <w:noProof/>
            <w:webHidden/>
          </w:rPr>
          <w:fldChar w:fldCharType="end"/>
        </w:r>
      </w:hyperlink>
    </w:p>
    <w:p w14:paraId="5D3D6DFE" w14:textId="5E152F52"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83" w:history="1">
        <w:r w:rsidR="00A26A3A" w:rsidRPr="00822C81">
          <w:rPr>
            <w:rStyle w:val="Hyperlink"/>
            <w:noProof/>
          </w:rPr>
          <w:t>4.4</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Tool, Mold, and Fixture Builders and Surface Treatments</w:t>
        </w:r>
        <w:r w:rsidR="00A26A3A">
          <w:rPr>
            <w:noProof/>
            <w:webHidden/>
          </w:rPr>
          <w:tab/>
        </w:r>
        <w:r w:rsidR="00A26A3A">
          <w:rPr>
            <w:noProof/>
            <w:webHidden/>
          </w:rPr>
          <w:fldChar w:fldCharType="begin"/>
        </w:r>
        <w:r w:rsidR="00A26A3A">
          <w:rPr>
            <w:noProof/>
            <w:webHidden/>
          </w:rPr>
          <w:instrText xml:space="preserve"> PAGEREF _Toc161133583 \h </w:instrText>
        </w:r>
        <w:r w:rsidR="00A26A3A">
          <w:rPr>
            <w:noProof/>
            <w:webHidden/>
          </w:rPr>
        </w:r>
        <w:r w:rsidR="00A26A3A">
          <w:rPr>
            <w:noProof/>
            <w:webHidden/>
          </w:rPr>
          <w:fldChar w:fldCharType="separate"/>
        </w:r>
        <w:r w:rsidR="00D93EDF">
          <w:rPr>
            <w:noProof/>
            <w:webHidden/>
          </w:rPr>
          <w:t>17</w:t>
        </w:r>
        <w:r w:rsidR="00A26A3A">
          <w:rPr>
            <w:noProof/>
            <w:webHidden/>
          </w:rPr>
          <w:fldChar w:fldCharType="end"/>
        </w:r>
      </w:hyperlink>
    </w:p>
    <w:p w14:paraId="18B1934D" w14:textId="650A7118" w:rsidR="00A26A3A" w:rsidRDefault="001D5FBA">
      <w:pPr>
        <w:pStyle w:val="TOC1"/>
        <w:rPr>
          <w:rFonts w:asciiTheme="minorHAnsi" w:eastAsiaTheme="minorEastAsia" w:hAnsiTheme="minorHAnsi" w:cstheme="minorBidi"/>
          <w:noProof/>
          <w:kern w:val="2"/>
          <w:sz w:val="24"/>
          <w:szCs w:val="24"/>
          <w14:ligatures w14:val="standardContextual"/>
        </w:rPr>
      </w:pPr>
      <w:hyperlink w:anchor="_Toc161133584" w:history="1">
        <w:r w:rsidR="00A26A3A" w:rsidRPr="00822C81">
          <w:rPr>
            <w:rStyle w:val="Hyperlink"/>
            <w:noProof/>
          </w:rPr>
          <w:t>5.0</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Delivery</w:t>
        </w:r>
        <w:r w:rsidR="00A26A3A">
          <w:rPr>
            <w:noProof/>
            <w:webHidden/>
          </w:rPr>
          <w:tab/>
        </w:r>
        <w:r w:rsidR="00A26A3A">
          <w:rPr>
            <w:noProof/>
            <w:webHidden/>
          </w:rPr>
          <w:fldChar w:fldCharType="begin"/>
        </w:r>
        <w:r w:rsidR="00A26A3A">
          <w:rPr>
            <w:noProof/>
            <w:webHidden/>
          </w:rPr>
          <w:instrText xml:space="preserve"> PAGEREF _Toc161133584 \h </w:instrText>
        </w:r>
        <w:r w:rsidR="00A26A3A">
          <w:rPr>
            <w:noProof/>
            <w:webHidden/>
          </w:rPr>
        </w:r>
        <w:r w:rsidR="00A26A3A">
          <w:rPr>
            <w:noProof/>
            <w:webHidden/>
          </w:rPr>
          <w:fldChar w:fldCharType="separate"/>
        </w:r>
        <w:r w:rsidR="00D93EDF">
          <w:rPr>
            <w:noProof/>
            <w:webHidden/>
          </w:rPr>
          <w:t>18</w:t>
        </w:r>
        <w:r w:rsidR="00A26A3A">
          <w:rPr>
            <w:noProof/>
            <w:webHidden/>
          </w:rPr>
          <w:fldChar w:fldCharType="end"/>
        </w:r>
      </w:hyperlink>
    </w:p>
    <w:p w14:paraId="6F6CA545" w14:textId="095F2F00"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85" w:history="1">
        <w:r w:rsidR="00A26A3A" w:rsidRPr="00822C81">
          <w:rPr>
            <w:rStyle w:val="Hyperlink"/>
            <w:noProof/>
          </w:rPr>
          <w:t>5.1</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Incoming Receiving Requirements</w:t>
        </w:r>
        <w:r w:rsidR="00A26A3A">
          <w:rPr>
            <w:noProof/>
            <w:webHidden/>
          </w:rPr>
          <w:tab/>
        </w:r>
        <w:r w:rsidR="00A26A3A">
          <w:rPr>
            <w:noProof/>
            <w:webHidden/>
          </w:rPr>
          <w:fldChar w:fldCharType="begin"/>
        </w:r>
        <w:r w:rsidR="00A26A3A">
          <w:rPr>
            <w:noProof/>
            <w:webHidden/>
          </w:rPr>
          <w:instrText xml:space="preserve"> PAGEREF _Toc161133585 \h </w:instrText>
        </w:r>
        <w:r w:rsidR="00A26A3A">
          <w:rPr>
            <w:noProof/>
            <w:webHidden/>
          </w:rPr>
        </w:r>
        <w:r w:rsidR="00A26A3A">
          <w:rPr>
            <w:noProof/>
            <w:webHidden/>
          </w:rPr>
          <w:fldChar w:fldCharType="separate"/>
        </w:r>
        <w:r w:rsidR="00D93EDF">
          <w:rPr>
            <w:noProof/>
            <w:webHidden/>
          </w:rPr>
          <w:t>18</w:t>
        </w:r>
        <w:r w:rsidR="00A26A3A">
          <w:rPr>
            <w:noProof/>
            <w:webHidden/>
          </w:rPr>
          <w:fldChar w:fldCharType="end"/>
        </w:r>
      </w:hyperlink>
    </w:p>
    <w:p w14:paraId="360D4007" w14:textId="46FD63E9"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86" w:history="1">
        <w:r w:rsidR="00A26A3A" w:rsidRPr="00822C81">
          <w:rPr>
            <w:rStyle w:val="Hyperlink"/>
            <w:noProof/>
          </w:rPr>
          <w:t>5.2</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Packaging, Labeling, and Routing Requirements</w:t>
        </w:r>
        <w:r w:rsidR="00A26A3A">
          <w:rPr>
            <w:noProof/>
            <w:webHidden/>
          </w:rPr>
          <w:tab/>
        </w:r>
        <w:r w:rsidR="00A26A3A">
          <w:rPr>
            <w:noProof/>
            <w:webHidden/>
          </w:rPr>
          <w:fldChar w:fldCharType="begin"/>
        </w:r>
        <w:r w:rsidR="00A26A3A">
          <w:rPr>
            <w:noProof/>
            <w:webHidden/>
          </w:rPr>
          <w:instrText xml:space="preserve"> PAGEREF _Toc161133586 \h </w:instrText>
        </w:r>
        <w:r w:rsidR="00A26A3A">
          <w:rPr>
            <w:noProof/>
            <w:webHidden/>
          </w:rPr>
        </w:r>
        <w:r w:rsidR="00A26A3A">
          <w:rPr>
            <w:noProof/>
            <w:webHidden/>
          </w:rPr>
          <w:fldChar w:fldCharType="separate"/>
        </w:r>
        <w:r w:rsidR="00D93EDF">
          <w:rPr>
            <w:noProof/>
            <w:webHidden/>
          </w:rPr>
          <w:t>19</w:t>
        </w:r>
        <w:r w:rsidR="00A26A3A">
          <w:rPr>
            <w:noProof/>
            <w:webHidden/>
          </w:rPr>
          <w:fldChar w:fldCharType="end"/>
        </w:r>
      </w:hyperlink>
    </w:p>
    <w:p w14:paraId="355E1F0A" w14:textId="691BE757" w:rsidR="00A26A3A" w:rsidRDefault="001D5FBA">
      <w:pPr>
        <w:pStyle w:val="TOC1"/>
        <w:rPr>
          <w:rFonts w:asciiTheme="minorHAnsi" w:eastAsiaTheme="minorEastAsia" w:hAnsiTheme="minorHAnsi" w:cstheme="minorBidi"/>
          <w:noProof/>
          <w:kern w:val="2"/>
          <w:sz w:val="24"/>
          <w:szCs w:val="24"/>
          <w14:ligatures w14:val="standardContextual"/>
        </w:rPr>
      </w:pPr>
      <w:hyperlink w:anchor="_Toc161133587" w:history="1">
        <w:r w:rsidR="00A26A3A" w:rsidRPr="00822C81">
          <w:rPr>
            <w:rStyle w:val="Hyperlink"/>
            <w:noProof/>
          </w:rPr>
          <w:t>6.0</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Quality</w:t>
        </w:r>
        <w:r w:rsidR="00A26A3A">
          <w:rPr>
            <w:noProof/>
            <w:webHidden/>
          </w:rPr>
          <w:tab/>
        </w:r>
        <w:r w:rsidR="00A26A3A">
          <w:rPr>
            <w:noProof/>
            <w:webHidden/>
          </w:rPr>
          <w:fldChar w:fldCharType="begin"/>
        </w:r>
        <w:r w:rsidR="00A26A3A">
          <w:rPr>
            <w:noProof/>
            <w:webHidden/>
          </w:rPr>
          <w:instrText xml:space="preserve"> PAGEREF _Toc161133587 \h </w:instrText>
        </w:r>
        <w:r w:rsidR="00A26A3A">
          <w:rPr>
            <w:noProof/>
            <w:webHidden/>
          </w:rPr>
        </w:r>
        <w:r w:rsidR="00A26A3A">
          <w:rPr>
            <w:noProof/>
            <w:webHidden/>
          </w:rPr>
          <w:fldChar w:fldCharType="separate"/>
        </w:r>
        <w:r w:rsidR="00D93EDF">
          <w:rPr>
            <w:noProof/>
            <w:webHidden/>
          </w:rPr>
          <w:t>20</w:t>
        </w:r>
        <w:r w:rsidR="00A26A3A">
          <w:rPr>
            <w:noProof/>
            <w:webHidden/>
          </w:rPr>
          <w:fldChar w:fldCharType="end"/>
        </w:r>
      </w:hyperlink>
    </w:p>
    <w:p w14:paraId="76D99BF2" w14:textId="565082E8"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88" w:history="1">
        <w:r w:rsidR="00A26A3A" w:rsidRPr="00822C81">
          <w:rPr>
            <w:rStyle w:val="Hyperlink"/>
            <w:noProof/>
          </w:rPr>
          <w:t>6.1</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Change Notifications</w:t>
        </w:r>
        <w:r w:rsidR="00A26A3A">
          <w:rPr>
            <w:noProof/>
            <w:webHidden/>
          </w:rPr>
          <w:tab/>
        </w:r>
        <w:r w:rsidR="00A26A3A">
          <w:rPr>
            <w:noProof/>
            <w:webHidden/>
          </w:rPr>
          <w:fldChar w:fldCharType="begin"/>
        </w:r>
        <w:r w:rsidR="00A26A3A">
          <w:rPr>
            <w:noProof/>
            <w:webHidden/>
          </w:rPr>
          <w:instrText xml:space="preserve"> PAGEREF _Toc161133588 \h </w:instrText>
        </w:r>
        <w:r w:rsidR="00A26A3A">
          <w:rPr>
            <w:noProof/>
            <w:webHidden/>
          </w:rPr>
        </w:r>
        <w:r w:rsidR="00A26A3A">
          <w:rPr>
            <w:noProof/>
            <w:webHidden/>
          </w:rPr>
          <w:fldChar w:fldCharType="separate"/>
        </w:r>
        <w:r w:rsidR="00D93EDF">
          <w:rPr>
            <w:noProof/>
            <w:webHidden/>
          </w:rPr>
          <w:t>20</w:t>
        </w:r>
        <w:r w:rsidR="00A26A3A">
          <w:rPr>
            <w:noProof/>
            <w:webHidden/>
          </w:rPr>
          <w:fldChar w:fldCharType="end"/>
        </w:r>
      </w:hyperlink>
    </w:p>
    <w:p w14:paraId="15408089" w14:textId="5995BAC4"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89" w:history="1">
        <w:r w:rsidR="00A26A3A" w:rsidRPr="00822C81">
          <w:rPr>
            <w:rStyle w:val="Hyperlink"/>
            <w:noProof/>
          </w:rPr>
          <w:t>6.2</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Chemical Substances, Adhesives, and Other Shelf-Life Materials</w:t>
        </w:r>
        <w:r w:rsidR="00A26A3A">
          <w:rPr>
            <w:noProof/>
            <w:webHidden/>
          </w:rPr>
          <w:tab/>
        </w:r>
        <w:r w:rsidR="00A26A3A">
          <w:rPr>
            <w:noProof/>
            <w:webHidden/>
          </w:rPr>
          <w:fldChar w:fldCharType="begin"/>
        </w:r>
        <w:r w:rsidR="00A26A3A">
          <w:rPr>
            <w:noProof/>
            <w:webHidden/>
          </w:rPr>
          <w:instrText xml:space="preserve"> PAGEREF _Toc161133589 \h </w:instrText>
        </w:r>
        <w:r w:rsidR="00A26A3A">
          <w:rPr>
            <w:noProof/>
            <w:webHidden/>
          </w:rPr>
        </w:r>
        <w:r w:rsidR="00A26A3A">
          <w:rPr>
            <w:noProof/>
            <w:webHidden/>
          </w:rPr>
          <w:fldChar w:fldCharType="separate"/>
        </w:r>
        <w:r w:rsidR="00D93EDF">
          <w:rPr>
            <w:noProof/>
            <w:webHidden/>
          </w:rPr>
          <w:t>21</w:t>
        </w:r>
        <w:r w:rsidR="00A26A3A">
          <w:rPr>
            <w:noProof/>
            <w:webHidden/>
          </w:rPr>
          <w:fldChar w:fldCharType="end"/>
        </w:r>
      </w:hyperlink>
    </w:p>
    <w:p w14:paraId="668FD7B7" w14:textId="7E31618F"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90" w:history="1">
        <w:r w:rsidR="00A26A3A" w:rsidRPr="00822C81">
          <w:rPr>
            <w:rStyle w:val="Hyperlink"/>
            <w:noProof/>
          </w:rPr>
          <w:t>6.3</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Cleanliness and Workmanship</w:t>
        </w:r>
        <w:r w:rsidR="00A26A3A">
          <w:rPr>
            <w:noProof/>
            <w:webHidden/>
          </w:rPr>
          <w:tab/>
        </w:r>
        <w:r w:rsidR="00A26A3A">
          <w:rPr>
            <w:noProof/>
            <w:webHidden/>
          </w:rPr>
          <w:fldChar w:fldCharType="begin"/>
        </w:r>
        <w:r w:rsidR="00A26A3A">
          <w:rPr>
            <w:noProof/>
            <w:webHidden/>
          </w:rPr>
          <w:instrText xml:space="preserve"> PAGEREF _Toc161133590 \h </w:instrText>
        </w:r>
        <w:r w:rsidR="00A26A3A">
          <w:rPr>
            <w:noProof/>
            <w:webHidden/>
          </w:rPr>
        </w:r>
        <w:r w:rsidR="00A26A3A">
          <w:rPr>
            <w:noProof/>
            <w:webHidden/>
          </w:rPr>
          <w:fldChar w:fldCharType="separate"/>
        </w:r>
        <w:r w:rsidR="00D93EDF">
          <w:rPr>
            <w:noProof/>
            <w:webHidden/>
          </w:rPr>
          <w:t>21</w:t>
        </w:r>
        <w:r w:rsidR="00A26A3A">
          <w:rPr>
            <w:noProof/>
            <w:webHidden/>
          </w:rPr>
          <w:fldChar w:fldCharType="end"/>
        </w:r>
      </w:hyperlink>
    </w:p>
    <w:p w14:paraId="3753806A" w14:textId="5A02A5FE"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91" w:history="1">
        <w:r w:rsidR="00A26A3A" w:rsidRPr="00822C81">
          <w:rPr>
            <w:rStyle w:val="Hyperlink"/>
            <w:noProof/>
          </w:rPr>
          <w:t>6.4</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Configuration Management and Part Obsolescence</w:t>
        </w:r>
        <w:r w:rsidR="00A26A3A">
          <w:rPr>
            <w:noProof/>
            <w:webHidden/>
          </w:rPr>
          <w:tab/>
        </w:r>
        <w:r w:rsidR="00A26A3A">
          <w:rPr>
            <w:noProof/>
            <w:webHidden/>
          </w:rPr>
          <w:fldChar w:fldCharType="begin"/>
        </w:r>
        <w:r w:rsidR="00A26A3A">
          <w:rPr>
            <w:noProof/>
            <w:webHidden/>
          </w:rPr>
          <w:instrText xml:space="preserve"> PAGEREF _Toc161133591 \h </w:instrText>
        </w:r>
        <w:r w:rsidR="00A26A3A">
          <w:rPr>
            <w:noProof/>
            <w:webHidden/>
          </w:rPr>
        </w:r>
        <w:r w:rsidR="00A26A3A">
          <w:rPr>
            <w:noProof/>
            <w:webHidden/>
          </w:rPr>
          <w:fldChar w:fldCharType="separate"/>
        </w:r>
        <w:r w:rsidR="00D93EDF">
          <w:rPr>
            <w:noProof/>
            <w:webHidden/>
          </w:rPr>
          <w:t>21</w:t>
        </w:r>
        <w:r w:rsidR="00A26A3A">
          <w:rPr>
            <w:noProof/>
            <w:webHidden/>
          </w:rPr>
          <w:fldChar w:fldCharType="end"/>
        </w:r>
      </w:hyperlink>
    </w:p>
    <w:p w14:paraId="197242CB" w14:textId="05D65958"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92" w:history="1">
        <w:r w:rsidR="00A26A3A" w:rsidRPr="00822C81">
          <w:rPr>
            <w:rStyle w:val="Hyperlink"/>
            <w:noProof/>
          </w:rPr>
          <w:t>6.5</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Continuity of Supply and Change Control Requirements</w:t>
        </w:r>
        <w:r w:rsidR="00A26A3A">
          <w:rPr>
            <w:noProof/>
            <w:webHidden/>
          </w:rPr>
          <w:tab/>
        </w:r>
        <w:r w:rsidR="00A26A3A">
          <w:rPr>
            <w:noProof/>
            <w:webHidden/>
          </w:rPr>
          <w:fldChar w:fldCharType="begin"/>
        </w:r>
        <w:r w:rsidR="00A26A3A">
          <w:rPr>
            <w:noProof/>
            <w:webHidden/>
          </w:rPr>
          <w:instrText xml:space="preserve"> PAGEREF _Toc161133592 \h </w:instrText>
        </w:r>
        <w:r w:rsidR="00A26A3A">
          <w:rPr>
            <w:noProof/>
            <w:webHidden/>
          </w:rPr>
        </w:r>
        <w:r w:rsidR="00A26A3A">
          <w:rPr>
            <w:noProof/>
            <w:webHidden/>
          </w:rPr>
          <w:fldChar w:fldCharType="separate"/>
        </w:r>
        <w:r w:rsidR="00D93EDF">
          <w:rPr>
            <w:noProof/>
            <w:webHidden/>
          </w:rPr>
          <w:t>22</w:t>
        </w:r>
        <w:r w:rsidR="00A26A3A">
          <w:rPr>
            <w:noProof/>
            <w:webHidden/>
          </w:rPr>
          <w:fldChar w:fldCharType="end"/>
        </w:r>
      </w:hyperlink>
    </w:p>
    <w:p w14:paraId="4F7928E2" w14:textId="127D55AF"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93" w:history="1">
        <w:r w:rsidR="00A26A3A" w:rsidRPr="00822C81">
          <w:rPr>
            <w:rStyle w:val="Hyperlink"/>
            <w:noProof/>
          </w:rPr>
          <w:t>6.6</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Continuous Improvement</w:t>
        </w:r>
        <w:r w:rsidR="00A26A3A">
          <w:rPr>
            <w:noProof/>
            <w:webHidden/>
          </w:rPr>
          <w:tab/>
        </w:r>
        <w:r w:rsidR="00A26A3A">
          <w:rPr>
            <w:noProof/>
            <w:webHidden/>
          </w:rPr>
          <w:fldChar w:fldCharType="begin"/>
        </w:r>
        <w:r w:rsidR="00A26A3A">
          <w:rPr>
            <w:noProof/>
            <w:webHidden/>
          </w:rPr>
          <w:instrText xml:space="preserve"> PAGEREF _Toc161133593 \h </w:instrText>
        </w:r>
        <w:r w:rsidR="00A26A3A">
          <w:rPr>
            <w:noProof/>
            <w:webHidden/>
          </w:rPr>
        </w:r>
        <w:r w:rsidR="00A26A3A">
          <w:rPr>
            <w:noProof/>
            <w:webHidden/>
          </w:rPr>
          <w:fldChar w:fldCharType="separate"/>
        </w:r>
        <w:r w:rsidR="00D93EDF">
          <w:rPr>
            <w:noProof/>
            <w:webHidden/>
          </w:rPr>
          <w:t>22</w:t>
        </w:r>
        <w:r w:rsidR="00A26A3A">
          <w:rPr>
            <w:noProof/>
            <w:webHidden/>
          </w:rPr>
          <w:fldChar w:fldCharType="end"/>
        </w:r>
      </w:hyperlink>
    </w:p>
    <w:p w14:paraId="76223659" w14:textId="359F265A"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94" w:history="1">
        <w:r w:rsidR="00A26A3A" w:rsidRPr="00822C81">
          <w:rPr>
            <w:rStyle w:val="Hyperlink"/>
            <w:noProof/>
          </w:rPr>
          <w:t>6.7</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Control of Records</w:t>
        </w:r>
        <w:r w:rsidR="00A26A3A">
          <w:rPr>
            <w:noProof/>
            <w:webHidden/>
          </w:rPr>
          <w:tab/>
        </w:r>
        <w:r w:rsidR="00A26A3A">
          <w:rPr>
            <w:noProof/>
            <w:webHidden/>
          </w:rPr>
          <w:fldChar w:fldCharType="begin"/>
        </w:r>
        <w:r w:rsidR="00A26A3A">
          <w:rPr>
            <w:noProof/>
            <w:webHidden/>
          </w:rPr>
          <w:instrText xml:space="preserve"> PAGEREF _Toc161133594 \h </w:instrText>
        </w:r>
        <w:r w:rsidR="00A26A3A">
          <w:rPr>
            <w:noProof/>
            <w:webHidden/>
          </w:rPr>
        </w:r>
        <w:r w:rsidR="00A26A3A">
          <w:rPr>
            <w:noProof/>
            <w:webHidden/>
          </w:rPr>
          <w:fldChar w:fldCharType="separate"/>
        </w:r>
        <w:r w:rsidR="00D93EDF">
          <w:rPr>
            <w:noProof/>
            <w:webHidden/>
          </w:rPr>
          <w:t>23</w:t>
        </w:r>
        <w:r w:rsidR="00A26A3A">
          <w:rPr>
            <w:noProof/>
            <w:webHidden/>
          </w:rPr>
          <w:fldChar w:fldCharType="end"/>
        </w:r>
      </w:hyperlink>
    </w:p>
    <w:p w14:paraId="198BE2C7" w14:textId="06BD6EED"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95" w:history="1">
        <w:r w:rsidR="00A26A3A" w:rsidRPr="00822C81">
          <w:rPr>
            <w:rStyle w:val="Hyperlink"/>
            <w:noProof/>
          </w:rPr>
          <w:t>6.8</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Corrective and Preventive Actions</w:t>
        </w:r>
        <w:r w:rsidR="00A26A3A">
          <w:rPr>
            <w:noProof/>
            <w:webHidden/>
          </w:rPr>
          <w:tab/>
        </w:r>
        <w:r w:rsidR="00A26A3A">
          <w:rPr>
            <w:noProof/>
            <w:webHidden/>
          </w:rPr>
          <w:fldChar w:fldCharType="begin"/>
        </w:r>
        <w:r w:rsidR="00A26A3A">
          <w:rPr>
            <w:noProof/>
            <w:webHidden/>
          </w:rPr>
          <w:instrText xml:space="preserve"> PAGEREF _Toc161133595 \h </w:instrText>
        </w:r>
        <w:r w:rsidR="00A26A3A">
          <w:rPr>
            <w:noProof/>
            <w:webHidden/>
          </w:rPr>
        </w:r>
        <w:r w:rsidR="00A26A3A">
          <w:rPr>
            <w:noProof/>
            <w:webHidden/>
          </w:rPr>
          <w:fldChar w:fldCharType="separate"/>
        </w:r>
        <w:r w:rsidR="00D93EDF">
          <w:rPr>
            <w:noProof/>
            <w:webHidden/>
          </w:rPr>
          <w:t>23</w:t>
        </w:r>
        <w:r w:rsidR="00A26A3A">
          <w:rPr>
            <w:noProof/>
            <w:webHidden/>
          </w:rPr>
          <w:fldChar w:fldCharType="end"/>
        </w:r>
      </w:hyperlink>
    </w:p>
    <w:p w14:paraId="2687BC3E" w14:textId="35069FF4"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96" w:history="1">
        <w:r w:rsidR="00A26A3A" w:rsidRPr="00822C81">
          <w:rPr>
            <w:rStyle w:val="Hyperlink"/>
            <w:noProof/>
          </w:rPr>
          <w:t>6.9</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Deviation and Waiver Requests</w:t>
        </w:r>
        <w:r w:rsidR="00A26A3A">
          <w:rPr>
            <w:noProof/>
            <w:webHidden/>
          </w:rPr>
          <w:tab/>
        </w:r>
        <w:r w:rsidR="00A26A3A">
          <w:rPr>
            <w:noProof/>
            <w:webHidden/>
          </w:rPr>
          <w:fldChar w:fldCharType="begin"/>
        </w:r>
        <w:r w:rsidR="00A26A3A">
          <w:rPr>
            <w:noProof/>
            <w:webHidden/>
          </w:rPr>
          <w:instrText xml:space="preserve"> PAGEREF _Toc161133596 \h </w:instrText>
        </w:r>
        <w:r w:rsidR="00A26A3A">
          <w:rPr>
            <w:noProof/>
            <w:webHidden/>
          </w:rPr>
        </w:r>
        <w:r w:rsidR="00A26A3A">
          <w:rPr>
            <w:noProof/>
            <w:webHidden/>
          </w:rPr>
          <w:fldChar w:fldCharType="separate"/>
        </w:r>
        <w:r w:rsidR="00D93EDF">
          <w:rPr>
            <w:noProof/>
            <w:webHidden/>
          </w:rPr>
          <w:t>24</w:t>
        </w:r>
        <w:r w:rsidR="00A26A3A">
          <w:rPr>
            <w:noProof/>
            <w:webHidden/>
          </w:rPr>
          <w:fldChar w:fldCharType="end"/>
        </w:r>
      </w:hyperlink>
    </w:p>
    <w:p w14:paraId="404D6918" w14:textId="1762EC76"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97" w:history="1">
        <w:r w:rsidR="00A26A3A" w:rsidRPr="00822C81">
          <w:rPr>
            <w:rStyle w:val="Hyperlink"/>
            <w:noProof/>
          </w:rPr>
          <w:t>6.10</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Foreign Object Damage/Debris (FOD/FOd) Prevention</w:t>
        </w:r>
        <w:r w:rsidR="00A26A3A">
          <w:rPr>
            <w:noProof/>
            <w:webHidden/>
          </w:rPr>
          <w:tab/>
        </w:r>
        <w:r w:rsidR="00A26A3A">
          <w:rPr>
            <w:noProof/>
            <w:webHidden/>
          </w:rPr>
          <w:fldChar w:fldCharType="begin"/>
        </w:r>
        <w:r w:rsidR="00A26A3A">
          <w:rPr>
            <w:noProof/>
            <w:webHidden/>
          </w:rPr>
          <w:instrText xml:space="preserve"> PAGEREF _Toc161133597 \h </w:instrText>
        </w:r>
        <w:r w:rsidR="00A26A3A">
          <w:rPr>
            <w:noProof/>
            <w:webHidden/>
          </w:rPr>
        </w:r>
        <w:r w:rsidR="00A26A3A">
          <w:rPr>
            <w:noProof/>
            <w:webHidden/>
          </w:rPr>
          <w:fldChar w:fldCharType="separate"/>
        </w:r>
        <w:r w:rsidR="00D93EDF">
          <w:rPr>
            <w:noProof/>
            <w:webHidden/>
          </w:rPr>
          <w:t>25</w:t>
        </w:r>
        <w:r w:rsidR="00A26A3A">
          <w:rPr>
            <w:noProof/>
            <w:webHidden/>
          </w:rPr>
          <w:fldChar w:fldCharType="end"/>
        </w:r>
      </w:hyperlink>
    </w:p>
    <w:p w14:paraId="74C59E00" w14:textId="1BC42151"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98" w:history="1">
        <w:r w:rsidR="00A26A3A" w:rsidRPr="00822C81">
          <w:rPr>
            <w:rStyle w:val="Hyperlink"/>
            <w:noProof/>
          </w:rPr>
          <w:t>6.11</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GT Owned Material (Subcontract and Consignment)</w:t>
        </w:r>
        <w:r w:rsidR="00A26A3A">
          <w:rPr>
            <w:noProof/>
            <w:webHidden/>
          </w:rPr>
          <w:tab/>
        </w:r>
        <w:r w:rsidR="00A26A3A">
          <w:rPr>
            <w:noProof/>
            <w:webHidden/>
          </w:rPr>
          <w:fldChar w:fldCharType="begin"/>
        </w:r>
        <w:r w:rsidR="00A26A3A">
          <w:rPr>
            <w:noProof/>
            <w:webHidden/>
          </w:rPr>
          <w:instrText xml:space="preserve"> PAGEREF _Toc161133598 \h </w:instrText>
        </w:r>
        <w:r w:rsidR="00A26A3A">
          <w:rPr>
            <w:noProof/>
            <w:webHidden/>
          </w:rPr>
        </w:r>
        <w:r w:rsidR="00A26A3A">
          <w:rPr>
            <w:noProof/>
            <w:webHidden/>
          </w:rPr>
          <w:fldChar w:fldCharType="separate"/>
        </w:r>
        <w:r w:rsidR="00D93EDF">
          <w:rPr>
            <w:noProof/>
            <w:webHidden/>
          </w:rPr>
          <w:t>25</w:t>
        </w:r>
        <w:r w:rsidR="00A26A3A">
          <w:rPr>
            <w:noProof/>
            <w:webHidden/>
          </w:rPr>
          <w:fldChar w:fldCharType="end"/>
        </w:r>
      </w:hyperlink>
    </w:p>
    <w:p w14:paraId="5C4B4F7F" w14:textId="6B0C86E8"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599" w:history="1">
        <w:r w:rsidR="00A26A3A" w:rsidRPr="00822C81">
          <w:rPr>
            <w:rStyle w:val="Hyperlink"/>
            <w:noProof/>
          </w:rPr>
          <w:t>6.12</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GT Owned Tooling</w:t>
        </w:r>
        <w:r w:rsidR="00A26A3A">
          <w:rPr>
            <w:noProof/>
            <w:webHidden/>
          </w:rPr>
          <w:tab/>
        </w:r>
        <w:r w:rsidR="00A26A3A">
          <w:rPr>
            <w:noProof/>
            <w:webHidden/>
          </w:rPr>
          <w:fldChar w:fldCharType="begin"/>
        </w:r>
        <w:r w:rsidR="00A26A3A">
          <w:rPr>
            <w:noProof/>
            <w:webHidden/>
          </w:rPr>
          <w:instrText xml:space="preserve"> PAGEREF _Toc161133599 \h </w:instrText>
        </w:r>
        <w:r w:rsidR="00A26A3A">
          <w:rPr>
            <w:noProof/>
            <w:webHidden/>
          </w:rPr>
        </w:r>
        <w:r w:rsidR="00A26A3A">
          <w:rPr>
            <w:noProof/>
            <w:webHidden/>
          </w:rPr>
          <w:fldChar w:fldCharType="separate"/>
        </w:r>
        <w:r w:rsidR="00D93EDF">
          <w:rPr>
            <w:noProof/>
            <w:webHidden/>
          </w:rPr>
          <w:t>26</w:t>
        </w:r>
        <w:r w:rsidR="00A26A3A">
          <w:rPr>
            <w:noProof/>
            <w:webHidden/>
          </w:rPr>
          <w:fldChar w:fldCharType="end"/>
        </w:r>
      </w:hyperlink>
    </w:p>
    <w:p w14:paraId="5035B1BF" w14:textId="2C78FF37"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600" w:history="1">
        <w:r w:rsidR="00A26A3A" w:rsidRPr="00822C81">
          <w:rPr>
            <w:rStyle w:val="Hyperlink"/>
            <w:noProof/>
          </w:rPr>
          <w:t>6.13</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Inspection Requirements</w:t>
        </w:r>
        <w:r w:rsidR="00A26A3A">
          <w:rPr>
            <w:noProof/>
            <w:webHidden/>
          </w:rPr>
          <w:tab/>
        </w:r>
        <w:r w:rsidR="00A26A3A">
          <w:rPr>
            <w:noProof/>
            <w:webHidden/>
          </w:rPr>
          <w:fldChar w:fldCharType="begin"/>
        </w:r>
        <w:r w:rsidR="00A26A3A">
          <w:rPr>
            <w:noProof/>
            <w:webHidden/>
          </w:rPr>
          <w:instrText xml:space="preserve"> PAGEREF _Toc161133600 \h </w:instrText>
        </w:r>
        <w:r w:rsidR="00A26A3A">
          <w:rPr>
            <w:noProof/>
            <w:webHidden/>
          </w:rPr>
        </w:r>
        <w:r w:rsidR="00A26A3A">
          <w:rPr>
            <w:noProof/>
            <w:webHidden/>
          </w:rPr>
          <w:fldChar w:fldCharType="separate"/>
        </w:r>
        <w:r w:rsidR="00D93EDF">
          <w:rPr>
            <w:noProof/>
            <w:webHidden/>
          </w:rPr>
          <w:t>26</w:t>
        </w:r>
        <w:r w:rsidR="00A26A3A">
          <w:rPr>
            <w:noProof/>
            <w:webHidden/>
          </w:rPr>
          <w:fldChar w:fldCharType="end"/>
        </w:r>
      </w:hyperlink>
    </w:p>
    <w:p w14:paraId="36F0DAD5" w14:textId="04F517BC"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601" w:history="1">
        <w:r w:rsidR="00A26A3A" w:rsidRPr="00822C81">
          <w:rPr>
            <w:rStyle w:val="Hyperlink"/>
            <w:noProof/>
          </w:rPr>
          <w:t>6.14</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Inspection Requirements – First Article</w:t>
        </w:r>
        <w:r w:rsidR="00A26A3A">
          <w:rPr>
            <w:noProof/>
            <w:webHidden/>
          </w:rPr>
          <w:tab/>
        </w:r>
        <w:r w:rsidR="00A26A3A">
          <w:rPr>
            <w:noProof/>
            <w:webHidden/>
          </w:rPr>
          <w:fldChar w:fldCharType="begin"/>
        </w:r>
        <w:r w:rsidR="00A26A3A">
          <w:rPr>
            <w:noProof/>
            <w:webHidden/>
          </w:rPr>
          <w:instrText xml:space="preserve"> PAGEREF _Toc161133601 \h </w:instrText>
        </w:r>
        <w:r w:rsidR="00A26A3A">
          <w:rPr>
            <w:noProof/>
            <w:webHidden/>
          </w:rPr>
        </w:r>
        <w:r w:rsidR="00A26A3A">
          <w:rPr>
            <w:noProof/>
            <w:webHidden/>
          </w:rPr>
          <w:fldChar w:fldCharType="separate"/>
        </w:r>
        <w:r w:rsidR="00D93EDF">
          <w:rPr>
            <w:noProof/>
            <w:webHidden/>
          </w:rPr>
          <w:t>28</w:t>
        </w:r>
        <w:r w:rsidR="00A26A3A">
          <w:rPr>
            <w:noProof/>
            <w:webHidden/>
          </w:rPr>
          <w:fldChar w:fldCharType="end"/>
        </w:r>
      </w:hyperlink>
    </w:p>
    <w:p w14:paraId="5107ED2D" w14:textId="27E4CBC1"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602" w:history="1">
        <w:r w:rsidR="00A26A3A" w:rsidRPr="00822C81">
          <w:rPr>
            <w:rStyle w:val="Hyperlink"/>
            <w:noProof/>
          </w:rPr>
          <w:t>6.15</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Non-Conforming Material and Quality Notifications</w:t>
        </w:r>
        <w:r w:rsidR="00A26A3A">
          <w:rPr>
            <w:noProof/>
            <w:webHidden/>
          </w:rPr>
          <w:tab/>
        </w:r>
        <w:r w:rsidR="00A26A3A">
          <w:rPr>
            <w:noProof/>
            <w:webHidden/>
          </w:rPr>
          <w:fldChar w:fldCharType="begin"/>
        </w:r>
        <w:r w:rsidR="00A26A3A">
          <w:rPr>
            <w:noProof/>
            <w:webHidden/>
          </w:rPr>
          <w:instrText xml:space="preserve"> PAGEREF _Toc161133602 \h </w:instrText>
        </w:r>
        <w:r w:rsidR="00A26A3A">
          <w:rPr>
            <w:noProof/>
            <w:webHidden/>
          </w:rPr>
        </w:r>
        <w:r w:rsidR="00A26A3A">
          <w:rPr>
            <w:noProof/>
            <w:webHidden/>
          </w:rPr>
          <w:fldChar w:fldCharType="separate"/>
        </w:r>
        <w:r w:rsidR="00D93EDF">
          <w:rPr>
            <w:noProof/>
            <w:webHidden/>
          </w:rPr>
          <w:t>28</w:t>
        </w:r>
        <w:r w:rsidR="00A26A3A">
          <w:rPr>
            <w:noProof/>
            <w:webHidden/>
          </w:rPr>
          <w:fldChar w:fldCharType="end"/>
        </w:r>
      </w:hyperlink>
    </w:p>
    <w:p w14:paraId="3822C259" w14:textId="298075F4"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603" w:history="1">
        <w:r w:rsidR="00A26A3A" w:rsidRPr="00822C81">
          <w:rPr>
            <w:rStyle w:val="Hyperlink"/>
            <w:noProof/>
          </w:rPr>
          <w:t>6.16</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Request for Engineering Change</w:t>
        </w:r>
        <w:r w:rsidR="00A26A3A">
          <w:rPr>
            <w:noProof/>
            <w:webHidden/>
          </w:rPr>
          <w:tab/>
        </w:r>
        <w:r w:rsidR="00A26A3A">
          <w:rPr>
            <w:noProof/>
            <w:webHidden/>
          </w:rPr>
          <w:fldChar w:fldCharType="begin"/>
        </w:r>
        <w:r w:rsidR="00A26A3A">
          <w:rPr>
            <w:noProof/>
            <w:webHidden/>
          </w:rPr>
          <w:instrText xml:space="preserve"> PAGEREF _Toc161133603 \h </w:instrText>
        </w:r>
        <w:r w:rsidR="00A26A3A">
          <w:rPr>
            <w:noProof/>
            <w:webHidden/>
          </w:rPr>
        </w:r>
        <w:r w:rsidR="00A26A3A">
          <w:rPr>
            <w:noProof/>
            <w:webHidden/>
          </w:rPr>
          <w:fldChar w:fldCharType="separate"/>
        </w:r>
        <w:r w:rsidR="00D93EDF">
          <w:rPr>
            <w:noProof/>
            <w:webHidden/>
          </w:rPr>
          <w:t>29</w:t>
        </w:r>
        <w:r w:rsidR="00A26A3A">
          <w:rPr>
            <w:noProof/>
            <w:webHidden/>
          </w:rPr>
          <w:fldChar w:fldCharType="end"/>
        </w:r>
      </w:hyperlink>
    </w:p>
    <w:p w14:paraId="2886927F" w14:textId="40700EF5"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604" w:history="1">
        <w:r w:rsidR="00A26A3A" w:rsidRPr="00822C81">
          <w:rPr>
            <w:rStyle w:val="Hyperlink"/>
            <w:noProof/>
          </w:rPr>
          <w:t>6.17</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Sample Material Policy</w:t>
        </w:r>
        <w:r w:rsidR="00A26A3A">
          <w:rPr>
            <w:noProof/>
            <w:webHidden/>
          </w:rPr>
          <w:tab/>
        </w:r>
        <w:r w:rsidR="00A26A3A">
          <w:rPr>
            <w:noProof/>
            <w:webHidden/>
          </w:rPr>
          <w:fldChar w:fldCharType="begin"/>
        </w:r>
        <w:r w:rsidR="00A26A3A">
          <w:rPr>
            <w:noProof/>
            <w:webHidden/>
          </w:rPr>
          <w:instrText xml:space="preserve"> PAGEREF _Toc161133604 \h </w:instrText>
        </w:r>
        <w:r w:rsidR="00A26A3A">
          <w:rPr>
            <w:noProof/>
            <w:webHidden/>
          </w:rPr>
        </w:r>
        <w:r w:rsidR="00A26A3A">
          <w:rPr>
            <w:noProof/>
            <w:webHidden/>
          </w:rPr>
          <w:fldChar w:fldCharType="separate"/>
        </w:r>
        <w:r w:rsidR="00D93EDF">
          <w:rPr>
            <w:noProof/>
            <w:webHidden/>
          </w:rPr>
          <w:t>29</w:t>
        </w:r>
        <w:r w:rsidR="00A26A3A">
          <w:rPr>
            <w:noProof/>
            <w:webHidden/>
          </w:rPr>
          <w:fldChar w:fldCharType="end"/>
        </w:r>
      </w:hyperlink>
    </w:p>
    <w:p w14:paraId="4DAED486" w14:textId="361EC107"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605" w:history="1">
        <w:r w:rsidR="00A26A3A" w:rsidRPr="00822C81">
          <w:rPr>
            <w:rStyle w:val="Hyperlink"/>
            <w:noProof/>
          </w:rPr>
          <w:t>6.18</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Sub-Tier Quality Assurance</w:t>
        </w:r>
        <w:r w:rsidR="00A26A3A">
          <w:rPr>
            <w:noProof/>
            <w:webHidden/>
          </w:rPr>
          <w:tab/>
        </w:r>
        <w:r w:rsidR="00A26A3A">
          <w:rPr>
            <w:noProof/>
            <w:webHidden/>
          </w:rPr>
          <w:fldChar w:fldCharType="begin"/>
        </w:r>
        <w:r w:rsidR="00A26A3A">
          <w:rPr>
            <w:noProof/>
            <w:webHidden/>
          </w:rPr>
          <w:instrText xml:space="preserve"> PAGEREF _Toc161133605 \h </w:instrText>
        </w:r>
        <w:r w:rsidR="00A26A3A">
          <w:rPr>
            <w:noProof/>
            <w:webHidden/>
          </w:rPr>
        </w:r>
        <w:r w:rsidR="00A26A3A">
          <w:rPr>
            <w:noProof/>
            <w:webHidden/>
          </w:rPr>
          <w:fldChar w:fldCharType="separate"/>
        </w:r>
        <w:r w:rsidR="00D93EDF">
          <w:rPr>
            <w:noProof/>
            <w:webHidden/>
          </w:rPr>
          <w:t>29</w:t>
        </w:r>
        <w:r w:rsidR="00A26A3A">
          <w:rPr>
            <w:noProof/>
            <w:webHidden/>
          </w:rPr>
          <w:fldChar w:fldCharType="end"/>
        </w:r>
      </w:hyperlink>
    </w:p>
    <w:p w14:paraId="471BEFF9" w14:textId="324A9A0C"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606" w:history="1">
        <w:r w:rsidR="00A26A3A" w:rsidRPr="00822C81">
          <w:rPr>
            <w:rStyle w:val="Hyperlink"/>
            <w:noProof/>
          </w:rPr>
          <w:t>6.19</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Traceability, Acceptance Authority Media and Identification Marking</w:t>
        </w:r>
        <w:r w:rsidR="00A26A3A">
          <w:rPr>
            <w:noProof/>
            <w:webHidden/>
          </w:rPr>
          <w:tab/>
        </w:r>
        <w:r w:rsidR="00A26A3A">
          <w:rPr>
            <w:noProof/>
            <w:webHidden/>
          </w:rPr>
          <w:fldChar w:fldCharType="begin"/>
        </w:r>
        <w:r w:rsidR="00A26A3A">
          <w:rPr>
            <w:noProof/>
            <w:webHidden/>
          </w:rPr>
          <w:instrText xml:space="preserve"> PAGEREF _Toc161133606 \h </w:instrText>
        </w:r>
        <w:r w:rsidR="00A26A3A">
          <w:rPr>
            <w:noProof/>
            <w:webHidden/>
          </w:rPr>
        </w:r>
        <w:r w:rsidR="00A26A3A">
          <w:rPr>
            <w:noProof/>
            <w:webHidden/>
          </w:rPr>
          <w:fldChar w:fldCharType="separate"/>
        </w:r>
        <w:r w:rsidR="00D93EDF">
          <w:rPr>
            <w:noProof/>
            <w:webHidden/>
          </w:rPr>
          <w:t>30</w:t>
        </w:r>
        <w:r w:rsidR="00A26A3A">
          <w:rPr>
            <w:noProof/>
            <w:webHidden/>
          </w:rPr>
          <w:fldChar w:fldCharType="end"/>
        </w:r>
      </w:hyperlink>
    </w:p>
    <w:p w14:paraId="15D1EE63" w14:textId="7BF2DD84" w:rsidR="00A26A3A" w:rsidRDefault="001D5FBA">
      <w:pPr>
        <w:pStyle w:val="TOC1"/>
        <w:rPr>
          <w:rFonts w:asciiTheme="minorHAnsi" w:eastAsiaTheme="minorEastAsia" w:hAnsiTheme="minorHAnsi" w:cstheme="minorBidi"/>
          <w:noProof/>
          <w:kern w:val="2"/>
          <w:sz w:val="24"/>
          <w:szCs w:val="24"/>
          <w14:ligatures w14:val="standardContextual"/>
        </w:rPr>
      </w:pPr>
      <w:hyperlink w:anchor="_Toc161133607" w:history="1">
        <w:r w:rsidR="00A26A3A" w:rsidRPr="00822C81">
          <w:rPr>
            <w:rStyle w:val="Hyperlink"/>
            <w:noProof/>
          </w:rPr>
          <w:t>7.0</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References</w:t>
        </w:r>
        <w:r w:rsidR="00A26A3A">
          <w:rPr>
            <w:noProof/>
            <w:webHidden/>
          </w:rPr>
          <w:tab/>
        </w:r>
        <w:r w:rsidR="00A26A3A">
          <w:rPr>
            <w:noProof/>
            <w:webHidden/>
          </w:rPr>
          <w:fldChar w:fldCharType="begin"/>
        </w:r>
        <w:r w:rsidR="00A26A3A">
          <w:rPr>
            <w:noProof/>
            <w:webHidden/>
          </w:rPr>
          <w:instrText xml:space="preserve"> PAGEREF _Toc161133607 \h </w:instrText>
        </w:r>
        <w:r w:rsidR="00A26A3A">
          <w:rPr>
            <w:noProof/>
            <w:webHidden/>
          </w:rPr>
        </w:r>
        <w:r w:rsidR="00A26A3A">
          <w:rPr>
            <w:noProof/>
            <w:webHidden/>
          </w:rPr>
          <w:fldChar w:fldCharType="separate"/>
        </w:r>
        <w:r w:rsidR="00D93EDF">
          <w:rPr>
            <w:noProof/>
            <w:webHidden/>
          </w:rPr>
          <w:t>31</w:t>
        </w:r>
        <w:r w:rsidR="00A26A3A">
          <w:rPr>
            <w:noProof/>
            <w:webHidden/>
          </w:rPr>
          <w:fldChar w:fldCharType="end"/>
        </w:r>
      </w:hyperlink>
    </w:p>
    <w:p w14:paraId="31B31805" w14:textId="0D2D6079"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608" w:history="1">
        <w:r w:rsidR="00A26A3A" w:rsidRPr="00822C81">
          <w:rPr>
            <w:rStyle w:val="Hyperlink"/>
            <w:noProof/>
          </w:rPr>
          <w:t>7.1</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Acronyms and Glossary of GT Terms</w:t>
        </w:r>
        <w:r w:rsidR="00A26A3A">
          <w:rPr>
            <w:noProof/>
            <w:webHidden/>
          </w:rPr>
          <w:tab/>
        </w:r>
        <w:r w:rsidR="00A26A3A">
          <w:rPr>
            <w:noProof/>
            <w:webHidden/>
          </w:rPr>
          <w:fldChar w:fldCharType="begin"/>
        </w:r>
        <w:r w:rsidR="00A26A3A">
          <w:rPr>
            <w:noProof/>
            <w:webHidden/>
          </w:rPr>
          <w:instrText xml:space="preserve"> PAGEREF _Toc161133608 \h </w:instrText>
        </w:r>
        <w:r w:rsidR="00A26A3A">
          <w:rPr>
            <w:noProof/>
            <w:webHidden/>
          </w:rPr>
        </w:r>
        <w:r w:rsidR="00A26A3A">
          <w:rPr>
            <w:noProof/>
            <w:webHidden/>
          </w:rPr>
          <w:fldChar w:fldCharType="separate"/>
        </w:r>
        <w:r w:rsidR="00D93EDF">
          <w:rPr>
            <w:noProof/>
            <w:webHidden/>
          </w:rPr>
          <w:t>31</w:t>
        </w:r>
        <w:r w:rsidR="00A26A3A">
          <w:rPr>
            <w:noProof/>
            <w:webHidden/>
          </w:rPr>
          <w:fldChar w:fldCharType="end"/>
        </w:r>
      </w:hyperlink>
    </w:p>
    <w:p w14:paraId="3EAD394E" w14:textId="53ECCA25"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609" w:history="1">
        <w:r w:rsidR="00A26A3A" w:rsidRPr="00822C81">
          <w:rPr>
            <w:rStyle w:val="Hyperlink"/>
            <w:noProof/>
          </w:rPr>
          <w:t>7.2</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GT Referenced Documents</w:t>
        </w:r>
        <w:r w:rsidR="00A26A3A">
          <w:rPr>
            <w:noProof/>
            <w:webHidden/>
          </w:rPr>
          <w:tab/>
        </w:r>
        <w:r w:rsidR="00A26A3A">
          <w:rPr>
            <w:noProof/>
            <w:webHidden/>
          </w:rPr>
          <w:fldChar w:fldCharType="begin"/>
        </w:r>
        <w:r w:rsidR="00A26A3A">
          <w:rPr>
            <w:noProof/>
            <w:webHidden/>
          </w:rPr>
          <w:instrText xml:space="preserve"> PAGEREF _Toc161133609 \h </w:instrText>
        </w:r>
        <w:r w:rsidR="00A26A3A">
          <w:rPr>
            <w:noProof/>
            <w:webHidden/>
          </w:rPr>
        </w:r>
        <w:r w:rsidR="00A26A3A">
          <w:rPr>
            <w:noProof/>
            <w:webHidden/>
          </w:rPr>
          <w:fldChar w:fldCharType="separate"/>
        </w:r>
        <w:r w:rsidR="00D93EDF">
          <w:rPr>
            <w:noProof/>
            <w:webHidden/>
          </w:rPr>
          <w:t>36</w:t>
        </w:r>
        <w:r w:rsidR="00A26A3A">
          <w:rPr>
            <w:noProof/>
            <w:webHidden/>
          </w:rPr>
          <w:fldChar w:fldCharType="end"/>
        </w:r>
      </w:hyperlink>
    </w:p>
    <w:p w14:paraId="167C35BD" w14:textId="1226AF62"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610" w:history="1">
        <w:r w:rsidR="00A26A3A" w:rsidRPr="00822C81">
          <w:rPr>
            <w:rStyle w:val="Hyperlink"/>
            <w:noProof/>
          </w:rPr>
          <w:t>7.3</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GT Supply Chain Locations</w:t>
        </w:r>
        <w:r w:rsidR="00A26A3A">
          <w:rPr>
            <w:noProof/>
            <w:webHidden/>
          </w:rPr>
          <w:tab/>
        </w:r>
        <w:r w:rsidR="00A26A3A">
          <w:rPr>
            <w:noProof/>
            <w:webHidden/>
          </w:rPr>
          <w:fldChar w:fldCharType="begin"/>
        </w:r>
        <w:r w:rsidR="00A26A3A">
          <w:rPr>
            <w:noProof/>
            <w:webHidden/>
          </w:rPr>
          <w:instrText xml:space="preserve"> PAGEREF _Toc161133610 \h </w:instrText>
        </w:r>
        <w:r w:rsidR="00A26A3A">
          <w:rPr>
            <w:noProof/>
            <w:webHidden/>
          </w:rPr>
        </w:r>
        <w:r w:rsidR="00A26A3A">
          <w:rPr>
            <w:noProof/>
            <w:webHidden/>
          </w:rPr>
          <w:fldChar w:fldCharType="separate"/>
        </w:r>
        <w:r w:rsidR="00D93EDF">
          <w:rPr>
            <w:noProof/>
            <w:webHidden/>
          </w:rPr>
          <w:t>36</w:t>
        </w:r>
        <w:r w:rsidR="00A26A3A">
          <w:rPr>
            <w:noProof/>
            <w:webHidden/>
          </w:rPr>
          <w:fldChar w:fldCharType="end"/>
        </w:r>
      </w:hyperlink>
    </w:p>
    <w:p w14:paraId="36264351" w14:textId="33A7BAC4" w:rsidR="00A26A3A" w:rsidRDefault="001D5FBA">
      <w:pPr>
        <w:pStyle w:val="TOC2"/>
        <w:rPr>
          <w:rFonts w:asciiTheme="minorHAnsi" w:eastAsiaTheme="minorEastAsia" w:hAnsiTheme="minorHAnsi" w:cstheme="minorBidi"/>
          <w:noProof/>
          <w:kern w:val="2"/>
          <w:sz w:val="24"/>
          <w:szCs w:val="24"/>
          <w14:ligatures w14:val="standardContextual"/>
        </w:rPr>
      </w:pPr>
      <w:hyperlink w:anchor="_Toc161133611" w:history="1">
        <w:r w:rsidR="00A26A3A" w:rsidRPr="00822C81">
          <w:rPr>
            <w:rStyle w:val="Hyperlink"/>
            <w:noProof/>
          </w:rPr>
          <w:t>7.4</w:t>
        </w:r>
        <w:r w:rsidR="00A26A3A">
          <w:rPr>
            <w:rFonts w:asciiTheme="minorHAnsi" w:eastAsiaTheme="minorEastAsia" w:hAnsiTheme="minorHAnsi" w:cstheme="minorBidi"/>
            <w:noProof/>
            <w:kern w:val="2"/>
            <w:sz w:val="24"/>
            <w:szCs w:val="24"/>
            <w14:ligatures w14:val="standardContextual"/>
          </w:rPr>
          <w:tab/>
        </w:r>
        <w:r w:rsidR="00A26A3A" w:rsidRPr="00822C81">
          <w:rPr>
            <w:rStyle w:val="Hyperlink"/>
            <w:noProof/>
          </w:rPr>
          <w:t>Industry and Regulatory Standards</w:t>
        </w:r>
        <w:r w:rsidR="00A26A3A">
          <w:rPr>
            <w:noProof/>
            <w:webHidden/>
          </w:rPr>
          <w:tab/>
        </w:r>
        <w:r w:rsidR="00A26A3A">
          <w:rPr>
            <w:noProof/>
            <w:webHidden/>
          </w:rPr>
          <w:fldChar w:fldCharType="begin"/>
        </w:r>
        <w:r w:rsidR="00A26A3A">
          <w:rPr>
            <w:noProof/>
            <w:webHidden/>
          </w:rPr>
          <w:instrText xml:space="preserve"> PAGEREF _Toc161133611 \h </w:instrText>
        </w:r>
        <w:r w:rsidR="00A26A3A">
          <w:rPr>
            <w:noProof/>
            <w:webHidden/>
          </w:rPr>
        </w:r>
        <w:r w:rsidR="00A26A3A">
          <w:rPr>
            <w:noProof/>
            <w:webHidden/>
          </w:rPr>
          <w:fldChar w:fldCharType="separate"/>
        </w:r>
        <w:r w:rsidR="00D93EDF">
          <w:rPr>
            <w:noProof/>
            <w:webHidden/>
          </w:rPr>
          <w:t>38</w:t>
        </w:r>
        <w:r w:rsidR="00A26A3A">
          <w:rPr>
            <w:noProof/>
            <w:webHidden/>
          </w:rPr>
          <w:fldChar w:fldCharType="end"/>
        </w:r>
      </w:hyperlink>
    </w:p>
    <w:p w14:paraId="13F86476" w14:textId="74F141FB" w:rsidR="00066290" w:rsidRPr="007C67D5" w:rsidRDefault="00066290" w:rsidP="009B06E1">
      <w:pPr>
        <w:rPr>
          <w:rFonts w:cs="Arial"/>
          <w:szCs w:val="20"/>
        </w:rPr>
      </w:pPr>
      <w:r w:rsidRPr="00066290">
        <w:rPr>
          <w:rFonts w:cs="Arial"/>
        </w:rPr>
        <w:fldChar w:fldCharType="end"/>
      </w:r>
    </w:p>
    <w:p w14:paraId="68AD48EC" w14:textId="77777777" w:rsidR="00066290" w:rsidRPr="007C67D5" w:rsidRDefault="00066290" w:rsidP="009B06E1">
      <w:pPr>
        <w:rPr>
          <w:rFonts w:cs="Arial"/>
          <w:szCs w:val="20"/>
        </w:rPr>
      </w:pPr>
    </w:p>
    <w:p w14:paraId="535493D9" w14:textId="7B96D8CC" w:rsidR="000F44F0" w:rsidRDefault="000F44F0" w:rsidP="00720916">
      <w:pPr>
        <w:pStyle w:val="Style12ptBoldCentered"/>
        <w:rPr>
          <w:rFonts w:cs="Arial"/>
          <w:sz w:val="22"/>
          <w:szCs w:val="18"/>
        </w:rPr>
      </w:pPr>
      <w:bookmarkStart w:id="2" w:name="_Hlk70417686"/>
      <w:r w:rsidRPr="00066290">
        <w:rPr>
          <w:rFonts w:cs="Arial"/>
          <w:sz w:val="22"/>
          <w:szCs w:val="18"/>
        </w:rPr>
        <w:t>REVISION HISTORY</w:t>
      </w:r>
    </w:p>
    <w:p w14:paraId="65080849" w14:textId="77777777" w:rsidR="000F44F0" w:rsidRPr="00066290" w:rsidRDefault="000F44F0" w:rsidP="00720916">
      <w:pPr>
        <w:pStyle w:val="Style12ptBoldCentered"/>
        <w:rPr>
          <w:rFonts w:cs="Arial"/>
          <w:sz w:val="22"/>
          <w:szCs w:val="18"/>
        </w:rPr>
      </w:pPr>
    </w:p>
    <w:tbl>
      <w:tblPr>
        <w:tblStyle w:val="TableGrid"/>
        <w:tblW w:w="0" w:type="auto"/>
        <w:jc w:val="center"/>
        <w:tblLook w:val="04A0" w:firstRow="1" w:lastRow="0" w:firstColumn="1" w:lastColumn="0" w:noHBand="0" w:noVBand="1"/>
      </w:tblPr>
      <w:tblGrid>
        <w:gridCol w:w="1347"/>
        <w:gridCol w:w="1796"/>
        <w:gridCol w:w="4660"/>
        <w:gridCol w:w="2951"/>
      </w:tblGrid>
      <w:tr w:rsidR="00066290" w:rsidRPr="00066290" w14:paraId="7D069E02" w14:textId="77777777" w:rsidTr="005A2C1C">
        <w:trPr>
          <w:trHeight w:val="648"/>
          <w:tblHeader/>
          <w:jc w:val="center"/>
        </w:trPr>
        <w:tc>
          <w:tcPr>
            <w:tcW w:w="1347" w:type="dxa"/>
            <w:tcBorders>
              <w:top w:val="single" w:sz="18" w:space="0" w:color="000000"/>
              <w:left w:val="single" w:sz="18" w:space="0" w:color="000000"/>
              <w:bottom w:val="single" w:sz="6" w:space="0" w:color="000000"/>
              <w:right w:val="single" w:sz="6" w:space="0" w:color="000000"/>
            </w:tcBorders>
            <w:shd w:val="clear" w:color="auto" w:fill="E2EFD9" w:themeFill="accent6" w:themeFillTint="33"/>
            <w:vAlign w:val="center"/>
          </w:tcPr>
          <w:p w14:paraId="357BED64" w14:textId="77777777" w:rsidR="00066290" w:rsidRPr="00066290" w:rsidRDefault="00066290" w:rsidP="00720916">
            <w:pPr>
              <w:pStyle w:val="Style9ptBoldCentered"/>
              <w:rPr>
                <w:rFonts w:cs="Arial"/>
              </w:rPr>
            </w:pPr>
            <w:bookmarkStart w:id="3" w:name="_Hlk66359227"/>
            <w:r w:rsidRPr="00066290">
              <w:rPr>
                <w:rFonts w:cs="Arial"/>
              </w:rPr>
              <w:t>REVISION</w:t>
            </w:r>
          </w:p>
          <w:p w14:paraId="6E4EE978" w14:textId="77777777" w:rsidR="00066290" w:rsidRPr="00066290" w:rsidRDefault="00066290" w:rsidP="00720916">
            <w:pPr>
              <w:pStyle w:val="Style9ptBoldCentered"/>
              <w:rPr>
                <w:rFonts w:cs="Arial"/>
              </w:rPr>
            </w:pPr>
            <w:r w:rsidRPr="00066290">
              <w:rPr>
                <w:rFonts w:cs="Arial"/>
              </w:rPr>
              <w:t>LEVEL</w:t>
            </w:r>
          </w:p>
          <w:p w14:paraId="645FA01F" w14:textId="77777777" w:rsidR="00066290" w:rsidRPr="00066290" w:rsidRDefault="00066290" w:rsidP="00720916">
            <w:pPr>
              <w:pStyle w:val="Style9ptBoldCentered"/>
              <w:rPr>
                <w:rFonts w:cs="Arial"/>
              </w:rPr>
            </w:pPr>
            <w:r w:rsidRPr="00066290">
              <w:rPr>
                <w:rFonts w:cs="Arial"/>
                <w:sz w:val="12"/>
                <w:szCs w:val="14"/>
              </w:rPr>
              <w:t>(Most recent at top)</w:t>
            </w:r>
          </w:p>
        </w:tc>
        <w:tc>
          <w:tcPr>
            <w:tcW w:w="1796" w:type="dxa"/>
            <w:tcBorders>
              <w:top w:val="single" w:sz="18" w:space="0" w:color="000000"/>
              <w:left w:val="single" w:sz="6" w:space="0" w:color="000000"/>
              <w:bottom w:val="single" w:sz="6" w:space="0" w:color="000000"/>
              <w:right w:val="single" w:sz="6" w:space="0" w:color="000000"/>
            </w:tcBorders>
            <w:shd w:val="clear" w:color="auto" w:fill="E2EFD9" w:themeFill="accent6" w:themeFillTint="33"/>
            <w:vAlign w:val="center"/>
          </w:tcPr>
          <w:p w14:paraId="438EA518" w14:textId="77777777" w:rsidR="00066290" w:rsidRPr="00066290" w:rsidRDefault="00066290" w:rsidP="00720916">
            <w:pPr>
              <w:pStyle w:val="Style9ptBoldCentered"/>
              <w:rPr>
                <w:rFonts w:cs="Arial"/>
              </w:rPr>
            </w:pPr>
            <w:r w:rsidRPr="00066290">
              <w:rPr>
                <w:rFonts w:cs="Arial"/>
              </w:rPr>
              <w:t>REVISION</w:t>
            </w:r>
          </w:p>
          <w:p w14:paraId="52606FC5" w14:textId="77777777" w:rsidR="00066290" w:rsidRPr="00066290" w:rsidRDefault="00066290" w:rsidP="00720916">
            <w:pPr>
              <w:pStyle w:val="Style9ptBoldCentered"/>
              <w:rPr>
                <w:rFonts w:cs="Arial"/>
              </w:rPr>
            </w:pPr>
            <w:r w:rsidRPr="00066290">
              <w:rPr>
                <w:rFonts w:cs="Arial"/>
              </w:rPr>
              <w:t>DATE RELEASED</w:t>
            </w:r>
          </w:p>
        </w:tc>
        <w:tc>
          <w:tcPr>
            <w:tcW w:w="4660" w:type="dxa"/>
            <w:tcBorders>
              <w:top w:val="single" w:sz="18" w:space="0" w:color="000000"/>
              <w:left w:val="single" w:sz="6" w:space="0" w:color="000000"/>
              <w:bottom w:val="single" w:sz="6" w:space="0" w:color="000000"/>
              <w:right w:val="single" w:sz="6" w:space="0" w:color="000000"/>
            </w:tcBorders>
            <w:shd w:val="clear" w:color="auto" w:fill="E2EFD9" w:themeFill="accent6" w:themeFillTint="33"/>
            <w:vAlign w:val="center"/>
          </w:tcPr>
          <w:p w14:paraId="58ACC18A" w14:textId="77777777" w:rsidR="00066290" w:rsidRPr="00066290" w:rsidRDefault="00066290" w:rsidP="00720916">
            <w:pPr>
              <w:pStyle w:val="Style9ptBoldCentered"/>
              <w:rPr>
                <w:rFonts w:cs="Arial"/>
              </w:rPr>
            </w:pPr>
            <w:r w:rsidRPr="00066290">
              <w:rPr>
                <w:rFonts w:cs="Arial"/>
              </w:rPr>
              <w:t>BRIEF DESCRIPTION</w:t>
            </w:r>
          </w:p>
          <w:p w14:paraId="7689B754" w14:textId="77777777" w:rsidR="00066290" w:rsidRPr="00066290" w:rsidRDefault="00066290" w:rsidP="00720916">
            <w:pPr>
              <w:pStyle w:val="Style9ptBoldCentered"/>
              <w:rPr>
                <w:rFonts w:cs="Arial"/>
              </w:rPr>
            </w:pPr>
            <w:r w:rsidRPr="00066290">
              <w:rPr>
                <w:rFonts w:cs="Arial"/>
              </w:rPr>
              <w:t>OF CHANGE</w:t>
            </w:r>
          </w:p>
        </w:tc>
        <w:tc>
          <w:tcPr>
            <w:tcW w:w="2951" w:type="dxa"/>
            <w:tcBorders>
              <w:top w:val="single" w:sz="18" w:space="0" w:color="000000"/>
              <w:left w:val="single" w:sz="6" w:space="0" w:color="000000"/>
              <w:bottom w:val="single" w:sz="6" w:space="0" w:color="000000"/>
              <w:right w:val="single" w:sz="18" w:space="0" w:color="000000"/>
            </w:tcBorders>
            <w:shd w:val="clear" w:color="auto" w:fill="E2EFD9" w:themeFill="accent6" w:themeFillTint="33"/>
            <w:vAlign w:val="center"/>
          </w:tcPr>
          <w:p w14:paraId="1C4AF672" w14:textId="77777777" w:rsidR="00066290" w:rsidRPr="00066290" w:rsidRDefault="00066290" w:rsidP="00720916">
            <w:pPr>
              <w:pStyle w:val="Style9ptBoldCentered"/>
              <w:rPr>
                <w:rFonts w:cs="Arial"/>
              </w:rPr>
            </w:pPr>
            <w:r w:rsidRPr="00066290">
              <w:rPr>
                <w:rFonts w:cs="Arial"/>
              </w:rPr>
              <w:t>REASON</w:t>
            </w:r>
          </w:p>
          <w:p w14:paraId="02DD40AB" w14:textId="77777777" w:rsidR="00066290" w:rsidRPr="00066290" w:rsidRDefault="00066290" w:rsidP="00720916">
            <w:pPr>
              <w:pStyle w:val="Style9ptBoldCentered"/>
              <w:rPr>
                <w:rFonts w:cs="Arial"/>
              </w:rPr>
            </w:pPr>
            <w:r w:rsidRPr="00066290">
              <w:rPr>
                <w:rFonts w:cs="Arial"/>
              </w:rPr>
              <w:t>FOR CHANGE</w:t>
            </w:r>
          </w:p>
        </w:tc>
      </w:tr>
      <w:tr w:rsidR="005A2C1C" w:rsidRPr="00066290" w14:paraId="48FFA2F9" w14:textId="77777777" w:rsidTr="0031183E">
        <w:trPr>
          <w:trHeight w:val="432"/>
          <w:jc w:val="center"/>
        </w:trPr>
        <w:tc>
          <w:tcPr>
            <w:tcW w:w="1347" w:type="dxa"/>
            <w:tcBorders>
              <w:top w:val="single" w:sz="6" w:space="0" w:color="000000"/>
              <w:left w:val="single" w:sz="18" w:space="0" w:color="000000"/>
              <w:bottom w:val="single" w:sz="6" w:space="0" w:color="000000"/>
              <w:right w:val="single" w:sz="6" w:space="0" w:color="000000"/>
            </w:tcBorders>
            <w:vAlign w:val="center"/>
          </w:tcPr>
          <w:p w14:paraId="2312E226" w14:textId="77777777" w:rsidR="005A2C1C" w:rsidRPr="00066290" w:rsidRDefault="005A2C1C" w:rsidP="00720916">
            <w:pPr>
              <w:tabs>
                <w:tab w:val="right" w:leader="dot" w:pos="10800"/>
              </w:tabs>
              <w:jc w:val="center"/>
              <w:rPr>
                <w:rFonts w:cs="Arial"/>
                <w:sz w:val="18"/>
                <w:szCs w:val="18"/>
              </w:rPr>
            </w:pPr>
          </w:p>
        </w:tc>
        <w:tc>
          <w:tcPr>
            <w:tcW w:w="1796" w:type="dxa"/>
            <w:tcBorders>
              <w:top w:val="single" w:sz="6" w:space="0" w:color="000000"/>
              <w:left w:val="single" w:sz="6" w:space="0" w:color="000000"/>
              <w:bottom w:val="single" w:sz="6" w:space="0" w:color="000000"/>
              <w:right w:val="single" w:sz="6" w:space="0" w:color="000000"/>
            </w:tcBorders>
            <w:vAlign w:val="center"/>
          </w:tcPr>
          <w:p w14:paraId="267A893F" w14:textId="77777777" w:rsidR="005A2C1C" w:rsidRPr="00066290" w:rsidRDefault="005A2C1C" w:rsidP="00720916">
            <w:pPr>
              <w:tabs>
                <w:tab w:val="right" w:leader="dot" w:pos="10800"/>
              </w:tabs>
              <w:jc w:val="center"/>
              <w:rPr>
                <w:rFonts w:cs="Arial"/>
                <w:sz w:val="18"/>
                <w:szCs w:val="18"/>
              </w:rPr>
            </w:pPr>
          </w:p>
        </w:tc>
        <w:tc>
          <w:tcPr>
            <w:tcW w:w="4660" w:type="dxa"/>
            <w:tcBorders>
              <w:top w:val="single" w:sz="6" w:space="0" w:color="000000"/>
              <w:left w:val="single" w:sz="6" w:space="0" w:color="000000"/>
              <w:bottom w:val="single" w:sz="6" w:space="0" w:color="000000"/>
              <w:right w:val="single" w:sz="6" w:space="0" w:color="000000"/>
            </w:tcBorders>
            <w:vAlign w:val="center"/>
          </w:tcPr>
          <w:p w14:paraId="45F00DA1" w14:textId="77777777" w:rsidR="005A2C1C" w:rsidRPr="0031183E" w:rsidRDefault="005A2C1C" w:rsidP="0031183E">
            <w:pPr>
              <w:rPr>
                <w:rFonts w:cs="Arial"/>
                <w:sz w:val="18"/>
                <w:szCs w:val="18"/>
              </w:rPr>
            </w:pPr>
          </w:p>
        </w:tc>
        <w:tc>
          <w:tcPr>
            <w:tcW w:w="2951" w:type="dxa"/>
            <w:tcBorders>
              <w:top w:val="single" w:sz="6" w:space="0" w:color="000000"/>
              <w:left w:val="single" w:sz="6" w:space="0" w:color="000000"/>
              <w:bottom w:val="single" w:sz="6" w:space="0" w:color="000000"/>
              <w:right w:val="single" w:sz="18" w:space="0" w:color="000000"/>
            </w:tcBorders>
            <w:vAlign w:val="center"/>
          </w:tcPr>
          <w:p w14:paraId="2547A7DD" w14:textId="77777777" w:rsidR="005A2C1C" w:rsidRPr="0031183E" w:rsidRDefault="005A2C1C" w:rsidP="0031183E">
            <w:pPr>
              <w:tabs>
                <w:tab w:val="right" w:leader="dot" w:pos="10800"/>
              </w:tabs>
              <w:rPr>
                <w:rFonts w:cs="Arial"/>
                <w:sz w:val="18"/>
                <w:szCs w:val="18"/>
              </w:rPr>
            </w:pPr>
          </w:p>
        </w:tc>
      </w:tr>
      <w:tr w:rsidR="0031183E" w:rsidRPr="00066290" w14:paraId="1E10BF29" w14:textId="77777777" w:rsidTr="0031183E">
        <w:trPr>
          <w:trHeight w:val="432"/>
          <w:jc w:val="center"/>
        </w:trPr>
        <w:tc>
          <w:tcPr>
            <w:tcW w:w="1347" w:type="dxa"/>
            <w:tcBorders>
              <w:top w:val="single" w:sz="6" w:space="0" w:color="000000"/>
              <w:left w:val="single" w:sz="18" w:space="0" w:color="000000"/>
              <w:bottom w:val="single" w:sz="6" w:space="0" w:color="000000"/>
              <w:right w:val="single" w:sz="6" w:space="0" w:color="000000"/>
            </w:tcBorders>
            <w:vAlign w:val="center"/>
          </w:tcPr>
          <w:p w14:paraId="74AFEA21" w14:textId="77777777" w:rsidR="0031183E" w:rsidRDefault="0031183E" w:rsidP="00720916">
            <w:pPr>
              <w:tabs>
                <w:tab w:val="right" w:leader="dot" w:pos="10800"/>
              </w:tabs>
              <w:jc w:val="center"/>
              <w:rPr>
                <w:rFonts w:cs="Arial"/>
                <w:sz w:val="18"/>
                <w:szCs w:val="18"/>
              </w:rPr>
            </w:pPr>
          </w:p>
        </w:tc>
        <w:tc>
          <w:tcPr>
            <w:tcW w:w="1796" w:type="dxa"/>
            <w:tcBorders>
              <w:top w:val="single" w:sz="6" w:space="0" w:color="000000"/>
              <w:left w:val="single" w:sz="6" w:space="0" w:color="000000"/>
              <w:bottom w:val="single" w:sz="6" w:space="0" w:color="000000"/>
              <w:right w:val="single" w:sz="6" w:space="0" w:color="000000"/>
            </w:tcBorders>
            <w:vAlign w:val="center"/>
          </w:tcPr>
          <w:p w14:paraId="1BB5EF53" w14:textId="77777777" w:rsidR="0031183E" w:rsidRDefault="0031183E" w:rsidP="00720916">
            <w:pPr>
              <w:tabs>
                <w:tab w:val="right" w:leader="dot" w:pos="10800"/>
              </w:tabs>
              <w:jc w:val="center"/>
              <w:rPr>
                <w:rFonts w:cs="Arial"/>
                <w:sz w:val="18"/>
                <w:szCs w:val="18"/>
              </w:rPr>
            </w:pPr>
          </w:p>
        </w:tc>
        <w:tc>
          <w:tcPr>
            <w:tcW w:w="4660" w:type="dxa"/>
            <w:tcBorders>
              <w:top w:val="single" w:sz="6" w:space="0" w:color="000000"/>
              <w:left w:val="single" w:sz="6" w:space="0" w:color="000000"/>
              <w:bottom w:val="single" w:sz="6" w:space="0" w:color="000000"/>
              <w:right w:val="single" w:sz="6" w:space="0" w:color="000000"/>
            </w:tcBorders>
            <w:vAlign w:val="center"/>
          </w:tcPr>
          <w:p w14:paraId="2DAAF608" w14:textId="77777777" w:rsidR="0031183E" w:rsidRPr="0031183E" w:rsidRDefault="0031183E" w:rsidP="0031183E">
            <w:pPr>
              <w:rPr>
                <w:rFonts w:cs="Arial"/>
                <w:sz w:val="18"/>
                <w:szCs w:val="18"/>
              </w:rPr>
            </w:pPr>
          </w:p>
        </w:tc>
        <w:tc>
          <w:tcPr>
            <w:tcW w:w="2951" w:type="dxa"/>
            <w:tcBorders>
              <w:top w:val="single" w:sz="6" w:space="0" w:color="000000"/>
              <w:left w:val="single" w:sz="6" w:space="0" w:color="000000"/>
              <w:bottom w:val="single" w:sz="6" w:space="0" w:color="000000"/>
              <w:right w:val="single" w:sz="18" w:space="0" w:color="000000"/>
            </w:tcBorders>
            <w:vAlign w:val="center"/>
          </w:tcPr>
          <w:p w14:paraId="12AD5133" w14:textId="77777777" w:rsidR="0031183E" w:rsidRPr="0031183E" w:rsidRDefault="0031183E" w:rsidP="0031183E">
            <w:pPr>
              <w:tabs>
                <w:tab w:val="right" w:leader="dot" w:pos="10800"/>
              </w:tabs>
              <w:rPr>
                <w:rFonts w:cs="Arial"/>
                <w:sz w:val="18"/>
                <w:szCs w:val="18"/>
              </w:rPr>
            </w:pPr>
          </w:p>
        </w:tc>
      </w:tr>
      <w:tr w:rsidR="00066290" w:rsidRPr="00066290" w14:paraId="3A1D2B3F" w14:textId="77777777" w:rsidTr="005A2C1C">
        <w:trPr>
          <w:trHeight w:val="432"/>
          <w:jc w:val="center"/>
        </w:trPr>
        <w:tc>
          <w:tcPr>
            <w:tcW w:w="1347" w:type="dxa"/>
            <w:tcBorders>
              <w:top w:val="single" w:sz="6" w:space="0" w:color="000000"/>
              <w:left w:val="single" w:sz="18" w:space="0" w:color="000000"/>
              <w:bottom w:val="single" w:sz="18" w:space="0" w:color="000000"/>
              <w:right w:val="single" w:sz="6" w:space="0" w:color="000000"/>
            </w:tcBorders>
            <w:vAlign w:val="center"/>
          </w:tcPr>
          <w:p w14:paraId="01E8B449" w14:textId="0D6592C8" w:rsidR="00066290" w:rsidRPr="00066290" w:rsidRDefault="005A2C1C" w:rsidP="00720916">
            <w:pPr>
              <w:tabs>
                <w:tab w:val="right" w:leader="dot" w:pos="10800"/>
              </w:tabs>
              <w:jc w:val="center"/>
              <w:rPr>
                <w:rFonts w:cs="Arial"/>
                <w:sz w:val="18"/>
                <w:szCs w:val="18"/>
              </w:rPr>
            </w:pPr>
            <w:r>
              <w:rPr>
                <w:rFonts w:cs="Arial"/>
                <w:sz w:val="18"/>
                <w:szCs w:val="18"/>
              </w:rPr>
              <w:t>A</w:t>
            </w:r>
          </w:p>
        </w:tc>
        <w:tc>
          <w:tcPr>
            <w:tcW w:w="1796" w:type="dxa"/>
            <w:tcBorders>
              <w:top w:val="single" w:sz="6" w:space="0" w:color="000000"/>
              <w:left w:val="single" w:sz="6" w:space="0" w:color="000000"/>
              <w:bottom w:val="single" w:sz="18" w:space="0" w:color="000000"/>
              <w:right w:val="single" w:sz="6" w:space="0" w:color="000000"/>
            </w:tcBorders>
            <w:vAlign w:val="center"/>
          </w:tcPr>
          <w:p w14:paraId="5758FACF" w14:textId="78C9D6A3" w:rsidR="00066290" w:rsidRPr="00066290" w:rsidRDefault="001D5FBA" w:rsidP="00720916">
            <w:pPr>
              <w:tabs>
                <w:tab w:val="right" w:leader="dot" w:pos="10800"/>
              </w:tabs>
              <w:jc w:val="center"/>
              <w:rPr>
                <w:rFonts w:cs="Arial"/>
                <w:sz w:val="18"/>
                <w:szCs w:val="18"/>
              </w:rPr>
            </w:pPr>
            <w:r>
              <w:rPr>
                <w:rFonts w:cs="Arial"/>
                <w:sz w:val="18"/>
                <w:szCs w:val="18"/>
              </w:rPr>
              <w:t>03/22/2024</w:t>
            </w:r>
          </w:p>
        </w:tc>
        <w:tc>
          <w:tcPr>
            <w:tcW w:w="4660" w:type="dxa"/>
            <w:tcBorders>
              <w:top w:val="single" w:sz="6" w:space="0" w:color="000000"/>
              <w:left w:val="single" w:sz="6" w:space="0" w:color="000000"/>
              <w:bottom w:val="single" w:sz="18" w:space="0" w:color="000000"/>
              <w:right w:val="single" w:sz="6" w:space="0" w:color="000000"/>
            </w:tcBorders>
            <w:vAlign w:val="center"/>
          </w:tcPr>
          <w:p w14:paraId="1205CC4D" w14:textId="14918B74" w:rsidR="00C273C0" w:rsidRDefault="00266C9B" w:rsidP="00CA7B4E">
            <w:pPr>
              <w:pStyle w:val="ListParagraph"/>
              <w:numPr>
                <w:ilvl w:val="0"/>
                <w:numId w:val="2"/>
              </w:numPr>
              <w:rPr>
                <w:rFonts w:cs="Arial"/>
                <w:sz w:val="18"/>
                <w:szCs w:val="18"/>
              </w:rPr>
            </w:pPr>
            <w:r w:rsidRPr="00C273C0">
              <w:rPr>
                <w:rFonts w:cs="Arial"/>
                <w:sz w:val="18"/>
                <w:szCs w:val="18"/>
              </w:rPr>
              <w:t>Replace</w:t>
            </w:r>
            <w:r w:rsidR="00C273C0" w:rsidRPr="00C273C0">
              <w:rPr>
                <w:rFonts w:cs="Arial"/>
                <w:sz w:val="18"/>
                <w:szCs w:val="18"/>
              </w:rPr>
              <w:t xml:space="preserve"> </w:t>
            </w:r>
            <w:proofErr w:type="gramStart"/>
            <w:r w:rsidR="00C273C0" w:rsidRPr="00C273C0">
              <w:rPr>
                <w:rFonts w:cs="Arial"/>
                <w:sz w:val="18"/>
                <w:szCs w:val="18"/>
              </w:rPr>
              <w:t>old</w:t>
            </w:r>
            <w:proofErr w:type="gramEnd"/>
            <w:r w:rsidR="00C273C0" w:rsidRPr="00C273C0">
              <w:rPr>
                <w:rFonts w:cs="Arial"/>
                <w:sz w:val="18"/>
                <w:szCs w:val="18"/>
              </w:rPr>
              <w:t xml:space="preserve"> number CP-GP-00-06.003 Rev. H with new number CP-NBS-14.002 Rev. A</w:t>
            </w:r>
            <w:r>
              <w:rPr>
                <w:rFonts w:cs="Arial"/>
                <w:sz w:val="18"/>
                <w:szCs w:val="18"/>
              </w:rPr>
              <w:t>,</w:t>
            </w:r>
            <w:r w:rsidR="00C273C0" w:rsidRPr="00C273C0">
              <w:rPr>
                <w:rFonts w:cs="Arial"/>
                <w:sz w:val="18"/>
                <w:szCs w:val="18"/>
              </w:rPr>
              <w:t xml:space="preserve"> for GTs Vision 2030.</w:t>
            </w:r>
          </w:p>
          <w:p w14:paraId="28E50630" w14:textId="0031A7D0" w:rsidR="00C273C0" w:rsidRPr="00C273C0" w:rsidRDefault="00C273C0" w:rsidP="00CA7B4E">
            <w:pPr>
              <w:pStyle w:val="ListParagraph"/>
              <w:numPr>
                <w:ilvl w:val="0"/>
                <w:numId w:val="2"/>
              </w:numPr>
              <w:rPr>
                <w:rFonts w:cs="Arial"/>
                <w:sz w:val="18"/>
                <w:szCs w:val="18"/>
              </w:rPr>
            </w:pPr>
            <w:r w:rsidRPr="00C273C0">
              <w:rPr>
                <w:rFonts w:cs="Arial"/>
                <w:sz w:val="18"/>
                <w:szCs w:val="18"/>
              </w:rPr>
              <w:t>Revised format</w:t>
            </w:r>
            <w:r w:rsidR="00841592">
              <w:rPr>
                <w:rFonts w:cs="Arial"/>
                <w:sz w:val="18"/>
                <w:szCs w:val="18"/>
              </w:rPr>
              <w:t>, Sequencing, Numbering and general notes and descriptions</w:t>
            </w:r>
            <w:r w:rsidRPr="00C273C0">
              <w:rPr>
                <w:rFonts w:cs="Arial"/>
                <w:sz w:val="18"/>
                <w:szCs w:val="18"/>
              </w:rPr>
              <w:t>.</w:t>
            </w:r>
          </w:p>
          <w:p w14:paraId="752B1DB3" w14:textId="0C5876F5" w:rsidR="00C273C0" w:rsidRDefault="005A2C1C" w:rsidP="00C273C0">
            <w:pPr>
              <w:pStyle w:val="ListParagraph"/>
              <w:numPr>
                <w:ilvl w:val="0"/>
                <w:numId w:val="2"/>
              </w:numPr>
              <w:rPr>
                <w:rFonts w:cs="Arial"/>
                <w:sz w:val="18"/>
                <w:szCs w:val="18"/>
              </w:rPr>
            </w:pPr>
            <w:r>
              <w:rPr>
                <w:rFonts w:cs="Arial"/>
                <w:sz w:val="18"/>
                <w:szCs w:val="18"/>
              </w:rPr>
              <w:t>Section 2.0:  Added certification details and Vendor Portal Information</w:t>
            </w:r>
            <w:r w:rsidR="00C35F63">
              <w:rPr>
                <w:rFonts w:cs="Arial"/>
                <w:sz w:val="18"/>
                <w:szCs w:val="18"/>
              </w:rPr>
              <w:t>.</w:t>
            </w:r>
          </w:p>
          <w:p w14:paraId="1FFF5B20" w14:textId="646522D4" w:rsidR="005A2C1C" w:rsidRDefault="005A2C1C" w:rsidP="00C273C0">
            <w:pPr>
              <w:pStyle w:val="ListParagraph"/>
              <w:numPr>
                <w:ilvl w:val="0"/>
                <w:numId w:val="2"/>
              </w:numPr>
              <w:rPr>
                <w:rFonts w:cs="Arial"/>
                <w:sz w:val="18"/>
                <w:szCs w:val="18"/>
              </w:rPr>
            </w:pPr>
            <w:r>
              <w:rPr>
                <w:rFonts w:cs="Arial"/>
                <w:sz w:val="18"/>
                <w:szCs w:val="18"/>
              </w:rPr>
              <w:t>Section 3.0:  Compliance updates.</w:t>
            </w:r>
          </w:p>
          <w:p w14:paraId="7AF8DA6F" w14:textId="2B387BA1" w:rsidR="005A2C1C" w:rsidRDefault="005A2C1C" w:rsidP="00C273C0">
            <w:pPr>
              <w:pStyle w:val="ListParagraph"/>
              <w:numPr>
                <w:ilvl w:val="0"/>
                <w:numId w:val="2"/>
              </w:numPr>
              <w:rPr>
                <w:rFonts w:cs="Arial"/>
                <w:sz w:val="18"/>
                <w:szCs w:val="18"/>
              </w:rPr>
            </w:pPr>
            <w:r>
              <w:rPr>
                <w:rFonts w:cs="Arial"/>
                <w:sz w:val="18"/>
                <w:szCs w:val="18"/>
              </w:rPr>
              <w:t>Section 4.3:  Supplier Quality Metric description corrected.</w:t>
            </w:r>
          </w:p>
          <w:p w14:paraId="262DDC19" w14:textId="25CEC22E" w:rsidR="005D612F" w:rsidRDefault="005A2C1C" w:rsidP="005A2C1C">
            <w:pPr>
              <w:pStyle w:val="ListParagraph"/>
              <w:numPr>
                <w:ilvl w:val="0"/>
                <w:numId w:val="2"/>
              </w:numPr>
              <w:rPr>
                <w:rFonts w:cs="Arial"/>
                <w:sz w:val="18"/>
                <w:szCs w:val="18"/>
              </w:rPr>
            </w:pPr>
            <w:r>
              <w:rPr>
                <w:rFonts w:cs="Arial"/>
                <w:sz w:val="18"/>
                <w:szCs w:val="18"/>
              </w:rPr>
              <w:t>Section 6.0:  FOD addition</w:t>
            </w:r>
            <w:r w:rsidR="005D612F">
              <w:rPr>
                <w:rFonts w:cs="Arial"/>
                <w:sz w:val="18"/>
                <w:szCs w:val="18"/>
              </w:rPr>
              <w:t xml:space="preserve"> and revised other name changes.</w:t>
            </w:r>
          </w:p>
          <w:p w14:paraId="477B6156" w14:textId="548FA58C" w:rsidR="000F44F0" w:rsidRPr="00066290" w:rsidRDefault="005D612F" w:rsidP="005A2C1C">
            <w:pPr>
              <w:pStyle w:val="ListParagraph"/>
              <w:numPr>
                <w:ilvl w:val="0"/>
                <w:numId w:val="2"/>
              </w:numPr>
              <w:rPr>
                <w:rFonts w:cs="Arial"/>
                <w:sz w:val="18"/>
                <w:szCs w:val="18"/>
              </w:rPr>
            </w:pPr>
            <w:r>
              <w:rPr>
                <w:rFonts w:cs="Arial"/>
                <w:sz w:val="18"/>
                <w:szCs w:val="18"/>
              </w:rPr>
              <w:t>Added Section 7.2 for GT Referenced documents</w:t>
            </w:r>
            <w:r w:rsidR="005A2C1C">
              <w:rPr>
                <w:rFonts w:cs="Arial"/>
                <w:sz w:val="18"/>
                <w:szCs w:val="18"/>
              </w:rPr>
              <w:t>.</w:t>
            </w:r>
          </w:p>
        </w:tc>
        <w:tc>
          <w:tcPr>
            <w:tcW w:w="2951" w:type="dxa"/>
            <w:tcBorders>
              <w:top w:val="single" w:sz="6" w:space="0" w:color="000000"/>
              <w:left w:val="single" w:sz="6" w:space="0" w:color="000000"/>
              <w:bottom w:val="single" w:sz="18" w:space="0" w:color="000000"/>
              <w:right w:val="single" w:sz="18" w:space="0" w:color="000000"/>
            </w:tcBorders>
            <w:vAlign w:val="center"/>
          </w:tcPr>
          <w:p w14:paraId="6351F030" w14:textId="799E496A" w:rsidR="00066290" w:rsidRDefault="005A2C1C" w:rsidP="00720916">
            <w:pPr>
              <w:pStyle w:val="ListParagraph"/>
              <w:numPr>
                <w:ilvl w:val="0"/>
                <w:numId w:val="2"/>
              </w:numPr>
              <w:tabs>
                <w:tab w:val="right" w:leader="dot" w:pos="10800"/>
              </w:tabs>
              <w:ind w:left="251" w:hanging="270"/>
              <w:rPr>
                <w:rFonts w:cs="Arial"/>
                <w:sz w:val="18"/>
                <w:szCs w:val="18"/>
              </w:rPr>
            </w:pPr>
            <w:r>
              <w:rPr>
                <w:rFonts w:cs="Arial"/>
                <w:sz w:val="18"/>
                <w:szCs w:val="18"/>
              </w:rPr>
              <w:t>Updated number format.</w:t>
            </w:r>
          </w:p>
          <w:p w14:paraId="0B1A086D" w14:textId="343192C1" w:rsidR="005A2C1C" w:rsidRDefault="005A2C1C" w:rsidP="00720916">
            <w:pPr>
              <w:pStyle w:val="ListParagraph"/>
              <w:numPr>
                <w:ilvl w:val="0"/>
                <w:numId w:val="2"/>
              </w:numPr>
              <w:tabs>
                <w:tab w:val="right" w:leader="dot" w:pos="10800"/>
              </w:tabs>
              <w:ind w:left="251" w:hanging="270"/>
              <w:rPr>
                <w:rFonts w:cs="Arial"/>
                <w:sz w:val="18"/>
                <w:szCs w:val="18"/>
              </w:rPr>
            </w:pPr>
            <w:r>
              <w:rPr>
                <w:rFonts w:cs="Arial"/>
                <w:sz w:val="18"/>
                <w:szCs w:val="18"/>
              </w:rPr>
              <w:t>New Corporate Process for Global document revisions.</w:t>
            </w:r>
          </w:p>
          <w:p w14:paraId="56107B74" w14:textId="6CB2A261" w:rsidR="005A2C1C" w:rsidRDefault="005A2C1C" w:rsidP="00720916">
            <w:pPr>
              <w:pStyle w:val="ListParagraph"/>
              <w:numPr>
                <w:ilvl w:val="0"/>
                <w:numId w:val="2"/>
              </w:numPr>
              <w:tabs>
                <w:tab w:val="right" w:leader="dot" w:pos="10800"/>
              </w:tabs>
              <w:ind w:left="251" w:hanging="270"/>
              <w:rPr>
                <w:rFonts w:cs="Arial"/>
                <w:sz w:val="18"/>
                <w:szCs w:val="18"/>
              </w:rPr>
            </w:pPr>
            <w:r>
              <w:rPr>
                <w:rFonts w:cs="Arial"/>
                <w:sz w:val="18"/>
                <w:szCs w:val="18"/>
              </w:rPr>
              <w:t>Updating procedural changes.</w:t>
            </w:r>
          </w:p>
          <w:p w14:paraId="20F6C752" w14:textId="298E7653" w:rsidR="005A2C1C" w:rsidRDefault="005A2C1C" w:rsidP="00720916">
            <w:pPr>
              <w:pStyle w:val="ListParagraph"/>
              <w:numPr>
                <w:ilvl w:val="0"/>
                <w:numId w:val="2"/>
              </w:numPr>
              <w:tabs>
                <w:tab w:val="right" w:leader="dot" w:pos="10800"/>
              </w:tabs>
              <w:ind w:left="251" w:hanging="270"/>
              <w:rPr>
                <w:rFonts w:cs="Arial"/>
                <w:sz w:val="18"/>
                <w:szCs w:val="18"/>
              </w:rPr>
            </w:pPr>
            <w:r>
              <w:rPr>
                <w:rFonts w:cs="Arial"/>
                <w:sz w:val="18"/>
                <w:szCs w:val="18"/>
              </w:rPr>
              <w:t>AS13100 updates.</w:t>
            </w:r>
          </w:p>
          <w:p w14:paraId="792FCECB" w14:textId="6B5A9727" w:rsidR="00066290" w:rsidRPr="005A2C1C" w:rsidRDefault="005A2C1C" w:rsidP="005A2C1C">
            <w:pPr>
              <w:pStyle w:val="ListParagraph"/>
              <w:numPr>
                <w:ilvl w:val="0"/>
                <w:numId w:val="2"/>
              </w:numPr>
              <w:tabs>
                <w:tab w:val="right" w:leader="dot" w:pos="10800"/>
              </w:tabs>
              <w:ind w:left="251" w:hanging="270"/>
              <w:rPr>
                <w:rFonts w:cs="Arial"/>
                <w:sz w:val="18"/>
                <w:szCs w:val="18"/>
              </w:rPr>
            </w:pPr>
            <w:r>
              <w:rPr>
                <w:rFonts w:cs="Arial"/>
                <w:sz w:val="18"/>
                <w:szCs w:val="18"/>
              </w:rPr>
              <w:t>ISO 14001 considerations.</w:t>
            </w:r>
          </w:p>
        </w:tc>
      </w:tr>
    </w:tbl>
    <w:p w14:paraId="4A7C6C7E" w14:textId="77777777" w:rsidR="007C67D5" w:rsidRPr="008A1F2C" w:rsidRDefault="007C67D5" w:rsidP="008A1F2C">
      <w:pPr>
        <w:rPr>
          <w:rFonts w:cs="Arial"/>
          <w:szCs w:val="20"/>
        </w:rPr>
      </w:pPr>
      <w:bookmarkStart w:id="4" w:name="_Toc67394566"/>
      <w:bookmarkEnd w:id="3"/>
    </w:p>
    <w:bookmarkEnd w:id="2"/>
    <w:p w14:paraId="0BD08A1B" w14:textId="77777777" w:rsidR="00B1355E" w:rsidRDefault="00B1355E" w:rsidP="00B1355E">
      <w:r>
        <w:fldChar w:fldCharType="begin"/>
      </w:r>
      <w:r>
        <w:instrText>HYPERLINK \l "TableOfContents"</w:instrText>
      </w:r>
      <w:r>
        <w:fldChar w:fldCharType="separate"/>
      </w:r>
      <w:r w:rsidRPr="00066290">
        <w:rPr>
          <w:rStyle w:val="Hyperlink"/>
          <w:rFonts w:cs="Arial"/>
          <w:sz w:val="16"/>
          <w:szCs w:val="14"/>
        </w:rPr>
        <w:t>Return to Table of Contents</w:t>
      </w:r>
      <w:r>
        <w:rPr>
          <w:rStyle w:val="Hyperlink"/>
          <w:rFonts w:cs="Arial"/>
          <w:sz w:val="16"/>
          <w:szCs w:val="14"/>
        </w:rPr>
        <w:fldChar w:fldCharType="end"/>
      </w:r>
      <w:r>
        <w:br w:type="page"/>
      </w:r>
    </w:p>
    <w:p w14:paraId="2D24CE2F" w14:textId="77777777" w:rsidR="00066290" w:rsidRPr="00066290" w:rsidRDefault="00066290" w:rsidP="00066290">
      <w:pPr>
        <w:pStyle w:val="kj0010"/>
        <w:tabs>
          <w:tab w:val="clear" w:pos="360"/>
        </w:tabs>
        <w:rPr>
          <w:rFonts w:cs="Arial"/>
        </w:rPr>
      </w:pPr>
      <w:bookmarkStart w:id="5" w:name="_Toc161133553"/>
      <w:r w:rsidRPr="00066290">
        <w:rPr>
          <w:rFonts w:cs="Arial"/>
        </w:rPr>
        <w:t>Purpose</w:t>
      </w:r>
      <w:bookmarkEnd w:id="4"/>
      <w:bookmarkEnd w:id="5"/>
    </w:p>
    <w:p w14:paraId="7806ABC7" w14:textId="52053C61" w:rsidR="00066290" w:rsidRDefault="0090174D" w:rsidP="00066290">
      <w:pPr>
        <w:pStyle w:val="kj0010TextOnly"/>
        <w:rPr>
          <w:rFonts w:cs="Arial"/>
        </w:rPr>
      </w:pPr>
      <w:r w:rsidRPr="00420EEA">
        <w:rPr>
          <w:bCs/>
          <w:szCs w:val="22"/>
        </w:rPr>
        <w:t xml:space="preserve">The purpose of this Supplier Handbook is to communicate Greene, Tweed &amp; Co.’s (GT) requirements and procedures to our supply base </w:t>
      </w:r>
      <w:proofErr w:type="gramStart"/>
      <w:r w:rsidRPr="00420EEA">
        <w:rPr>
          <w:bCs/>
          <w:szCs w:val="22"/>
        </w:rPr>
        <w:t>in order to</w:t>
      </w:r>
      <w:proofErr w:type="gramEnd"/>
      <w:r w:rsidRPr="00420EEA">
        <w:rPr>
          <w:bCs/>
          <w:szCs w:val="22"/>
        </w:rPr>
        <w:t xml:space="preserve"> remove non</w:t>
      </w:r>
      <w:r>
        <w:rPr>
          <w:bCs/>
          <w:szCs w:val="22"/>
        </w:rPr>
        <w:t>-value-added</w:t>
      </w:r>
      <w:r w:rsidRPr="00420EEA">
        <w:rPr>
          <w:bCs/>
          <w:szCs w:val="22"/>
        </w:rPr>
        <w:t xml:space="preserve"> activities and eliminate delays in delivery. </w:t>
      </w:r>
      <w:r w:rsidR="000677C7">
        <w:rPr>
          <w:bCs/>
          <w:szCs w:val="22"/>
        </w:rPr>
        <w:t xml:space="preserve"> </w:t>
      </w:r>
      <w:r w:rsidRPr="00420EEA">
        <w:rPr>
          <w:bCs/>
          <w:szCs w:val="22"/>
        </w:rPr>
        <w:t xml:space="preserve">This is being done </w:t>
      </w:r>
      <w:proofErr w:type="gramStart"/>
      <w:r w:rsidRPr="00420EEA">
        <w:rPr>
          <w:bCs/>
          <w:szCs w:val="22"/>
        </w:rPr>
        <w:t>in order to</w:t>
      </w:r>
      <w:proofErr w:type="gramEnd"/>
      <w:r w:rsidRPr="00420EEA">
        <w:rPr>
          <w:bCs/>
          <w:szCs w:val="22"/>
        </w:rPr>
        <w:t xml:space="preserve"> improve efficiency for both GT and our supply base, and to continually improve supplier quality to ensure our end customer satisfaction. </w:t>
      </w:r>
      <w:r w:rsidR="000677C7">
        <w:rPr>
          <w:bCs/>
          <w:szCs w:val="22"/>
        </w:rPr>
        <w:t xml:space="preserve"> </w:t>
      </w:r>
      <w:r w:rsidRPr="00420EEA">
        <w:rPr>
          <w:bCs/>
          <w:szCs w:val="22"/>
        </w:rPr>
        <w:t>Communication between our supply base and GT is vital to our mutual success</w:t>
      </w:r>
      <w:r w:rsidR="00066290" w:rsidRPr="00066290">
        <w:rPr>
          <w:rFonts w:cs="Arial"/>
        </w:rPr>
        <w:t>.</w:t>
      </w:r>
    </w:p>
    <w:p w14:paraId="10DFA560" w14:textId="77777777" w:rsidR="0090174D" w:rsidRDefault="0090174D" w:rsidP="00066290">
      <w:pPr>
        <w:pStyle w:val="kj0010TextOnly"/>
        <w:rPr>
          <w:rFonts w:cs="Arial"/>
        </w:rPr>
      </w:pPr>
    </w:p>
    <w:p w14:paraId="726504EE" w14:textId="4E0500A0" w:rsidR="0090174D" w:rsidRDefault="0090174D" w:rsidP="00066290">
      <w:pPr>
        <w:pStyle w:val="kj0010TextOnly"/>
        <w:rPr>
          <w:bCs/>
          <w:szCs w:val="22"/>
        </w:rPr>
      </w:pPr>
      <w:r w:rsidRPr="00420EEA">
        <w:rPr>
          <w:bCs/>
          <w:szCs w:val="22"/>
        </w:rPr>
        <w:t>The latest released Supplier Handbook is available via the Greene, Tweed &amp; Co. external website</w:t>
      </w:r>
      <w:r w:rsidR="007E5BD9">
        <w:rPr>
          <w:bCs/>
          <w:szCs w:val="22"/>
        </w:rPr>
        <w:t>.</w:t>
      </w:r>
    </w:p>
    <w:p w14:paraId="76EB7EFF" w14:textId="77777777" w:rsidR="007E5BD9" w:rsidRPr="004E752A" w:rsidRDefault="001D5FBA" w:rsidP="004E752A">
      <w:pPr>
        <w:pStyle w:val="kj0010TextOnly"/>
        <w:numPr>
          <w:ilvl w:val="0"/>
          <w:numId w:val="16"/>
        </w:numPr>
        <w:rPr>
          <w:rStyle w:val="Hyperlink"/>
          <w:b/>
          <w:bCs/>
        </w:rPr>
      </w:pPr>
      <w:hyperlink r:id="rId10" w:history="1">
        <w:r w:rsidR="007E5BD9" w:rsidRPr="004E752A">
          <w:rPr>
            <w:rStyle w:val="Hyperlink"/>
            <w:b/>
            <w:bCs/>
          </w:rPr>
          <w:t>www.gtweed.com/supplier-information/</w:t>
        </w:r>
      </w:hyperlink>
    </w:p>
    <w:p w14:paraId="61B4BDB2" w14:textId="77777777" w:rsidR="007E5BD9" w:rsidRDefault="007E5BD9" w:rsidP="00066290">
      <w:pPr>
        <w:pStyle w:val="kj0010TextOnly"/>
        <w:rPr>
          <w:bCs/>
          <w:szCs w:val="22"/>
        </w:rPr>
      </w:pPr>
    </w:p>
    <w:p w14:paraId="1194FB10" w14:textId="511D2594" w:rsidR="00066290" w:rsidRPr="00066290" w:rsidRDefault="00CA1FAE" w:rsidP="00066290">
      <w:pPr>
        <w:pStyle w:val="kj0010"/>
        <w:tabs>
          <w:tab w:val="clear" w:pos="360"/>
        </w:tabs>
        <w:rPr>
          <w:rFonts w:cs="Arial"/>
        </w:rPr>
      </w:pPr>
      <w:bookmarkStart w:id="6" w:name="_Toc161133554"/>
      <w:r>
        <w:rPr>
          <w:rFonts w:cs="Arial"/>
        </w:rPr>
        <w:t>Business Practices</w:t>
      </w:r>
      <w:bookmarkEnd w:id="6"/>
    </w:p>
    <w:p w14:paraId="7C31206A" w14:textId="16BDC06B" w:rsidR="00CA1FAE" w:rsidRDefault="00CA1FAE" w:rsidP="00CA1FAE">
      <w:pPr>
        <w:pStyle w:val="kj0212"/>
        <w:tabs>
          <w:tab w:val="clear" w:pos="360"/>
          <w:tab w:val="clear" w:pos="547"/>
          <w:tab w:val="num" w:pos="540"/>
        </w:tabs>
      </w:pPr>
      <w:bookmarkStart w:id="7" w:name="_Toc161133555"/>
      <w:r>
        <w:t>Vision</w:t>
      </w:r>
      <w:bookmarkEnd w:id="7"/>
    </w:p>
    <w:p w14:paraId="6236D663" w14:textId="2DEA3D2A" w:rsidR="00CA1FAE" w:rsidRDefault="00CA1FAE" w:rsidP="00CA1FAE">
      <w:pPr>
        <w:pStyle w:val="kj0212TextOnly"/>
      </w:pPr>
      <w:r w:rsidRPr="00865577">
        <w:rPr>
          <w:noProof/>
        </w:rPr>
        <mc:AlternateContent>
          <mc:Choice Requires="wps">
            <w:drawing>
              <wp:anchor distT="45720" distB="45720" distL="114300" distR="114300" simplePos="0" relativeHeight="251672576" behindDoc="0" locked="0" layoutInCell="1" allowOverlap="1" wp14:anchorId="1AC3AAA7" wp14:editId="31AEB1A9">
                <wp:simplePos x="0" y="0"/>
                <wp:positionH relativeFrom="column">
                  <wp:posOffset>-380365</wp:posOffset>
                </wp:positionH>
                <wp:positionV relativeFrom="paragraph">
                  <wp:posOffset>523504</wp:posOffset>
                </wp:positionV>
                <wp:extent cx="365760" cy="1404620"/>
                <wp:effectExtent l="0" t="0" r="0" b="889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404620"/>
                        </a:xfrm>
                        <a:prstGeom prst="rect">
                          <a:avLst/>
                        </a:prstGeom>
                        <a:solidFill>
                          <a:srgbClr val="FFFFFF"/>
                        </a:solidFill>
                        <a:ln w="9525">
                          <a:noFill/>
                          <a:miter lim="800000"/>
                          <a:headEnd/>
                          <a:tailEnd/>
                        </a:ln>
                      </wps:spPr>
                      <wps:txbx>
                        <w:txbxContent>
                          <w:p w14:paraId="2D2CD925" w14:textId="77777777" w:rsidR="00CA1FAE" w:rsidRPr="006659B4" w:rsidRDefault="00CA1FAE" w:rsidP="00CA1FAE">
                            <w:pPr>
                              <w:tabs>
                                <w:tab w:val="left" w:pos="187"/>
                                <w:tab w:val="left" w:pos="547"/>
                                <w:tab w:val="left" w:pos="1267"/>
                                <w:tab w:val="left" w:pos="2160"/>
                                <w:tab w:val="left" w:pos="3240"/>
                                <w:tab w:val="left" w:pos="4320"/>
                                <w:tab w:val="left" w:pos="5760"/>
                                <w:tab w:val="left" w:pos="7387"/>
                              </w:tabs>
                              <w:jc w:val="right"/>
                              <w:rPr>
                                <w:rFonts w:cs="Arial"/>
                              </w:rPr>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C3AAA7" id="_x0000_t202" coordsize="21600,21600" o:spt="202" path="m,l,21600r21600,l21600,xe">
                <v:stroke joinstyle="miter"/>
                <v:path gradientshapeok="t" o:connecttype="rect"/>
              </v:shapetype>
              <v:shape id="Text Box 2" o:spid="_x0000_s1026" type="#_x0000_t202" style="position:absolute;left:0;text-align:left;margin-left:-29.95pt;margin-top:41.2pt;width:28.8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czDQIAAPYDAAAOAAAAZHJzL2Uyb0RvYy54bWysU9tu2zAMfR+wfxD0vtjJkrQ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" stroked="f">
                <v:textbox style="mso-fit-shape-to-text:t">
                  <w:txbxContent>
                    <w:p w14:paraId="2D2CD925" w14:textId="77777777" w:rsidR="00CA1FAE" w:rsidRPr="006659B4" w:rsidRDefault="00CA1FAE" w:rsidP="00CA1FAE">
                      <w:pPr>
                        <w:tabs>
                          <w:tab w:val="left" w:pos="187"/>
                          <w:tab w:val="left" w:pos="547"/>
                          <w:tab w:val="left" w:pos="1267"/>
                          <w:tab w:val="left" w:pos="2160"/>
                          <w:tab w:val="left" w:pos="3240"/>
                          <w:tab w:val="left" w:pos="4320"/>
                          <w:tab w:val="left" w:pos="5760"/>
                          <w:tab w:val="left" w:pos="7387"/>
                        </w:tabs>
                        <w:jc w:val="right"/>
                        <w:rPr>
                          <w:rFonts w:cs="Arial"/>
                        </w:rPr>
                      </w:pPr>
                      <w:r>
                        <w:t>|</w:t>
                      </w:r>
                    </w:p>
                  </w:txbxContent>
                </v:textbox>
              </v:shape>
            </w:pict>
          </mc:Fallback>
        </mc:AlternateContent>
      </w:r>
      <w:r w:rsidRPr="00420EEA">
        <w:rPr>
          <w:bCs/>
          <w:szCs w:val="22"/>
        </w:rPr>
        <w:t>Provide Supply Chain excellence to support the business needs in alignment with GT strategy and maintain an ethical approach within the total supply chain solution to create value through technology, quality, delivery, and cost</w:t>
      </w:r>
      <w:r w:rsidR="000677C7">
        <w:rPr>
          <w:bCs/>
          <w:szCs w:val="22"/>
        </w:rPr>
        <w:t>.</w:t>
      </w:r>
    </w:p>
    <w:p w14:paraId="557C4FC5" w14:textId="3FCAEB54" w:rsidR="00CA1FAE" w:rsidRDefault="00CA1FAE" w:rsidP="00CA1FAE">
      <w:pPr>
        <w:pStyle w:val="kj0212"/>
        <w:tabs>
          <w:tab w:val="clear" w:pos="360"/>
          <w:tab w:val="clear" w:pos="547"/>
          <w:tab w:val="num" w:pos="540"/>
        </w:tabs>
      </w:pPr>
      <w:bookmarkStart w:id="8" w:name="_Toc161133556"/>
      <w:r>
        <w:t>Quality Policy</w:t>
      </w:r>
      <w:bookmarkEnd w:id="8"/>
    </w:p>
    <w:p w14:paraId="650F6EFD" w14:textId="3133327D" w:rsidR="00EE2D24" w:rsidRDefault="00CA1FAE" w:rsidP="00CA1FAE">
      <w:pPr>
        <w:pStyle w:val="kj0212TextOnly"/>
        <w:rPr>
          <w:rFonts w:cs="Arial"/>
          <w:bCs/>
          <w:szCs w:val="22"/>
        </w:rPr>
      </w:pPr>
      <w:r w:rsidRPr="00420EEA">
        <w:rPr>
          <w:bCs/>
          <w:szCs w:val="22"/>
        </w:rPr>
        <w:t xml:space="preserve">GT is </w:t>
      </w:r>
      <w:r w:rsidR="00EE2D24">
        <w:rPr>
          <w:bCs/>
          <w:szCs w:val="22"/>
        </w:rPr>
        <w:t>committed to providing market driven, technology leading products to our customer by focusing on the following:</w:t>
      </w:r>
    </w:p>
    <w:p w14:paraId="58D0BF07" w14:textId="281CE860" w:rsidR="00EE2D24" w:rsidRDefault="00071D89" w:rsidP="00071D89">
      <w:pPr>
        <w:pStyle w:val="kj03123"/>
        <w:tabs>
          <w:tab w:val="clear" w:pos="360"/>
          <w:tab w:val="clear" w:pos="1267"/>
          <w:tab w:val="num" w:pos="1260"/>
        </w:tabs>
      </w:pPr>
      <w:r w:rsidRPr="00071D89">
        <w:t>EMPLOYEES:  We recognize that every Greene Tweed employee, regardless of position within the company, impacts our overall quality performance.</w:t>
      </w:r>
      <w:r>
        <w:t xml:space="preserve"> </w:t>
      </w:r>
      <w:r w:rsidRPr="00071D89">
        <w:t xml:space="preserve"> As such, we will enable a company culture where employees can speak openly and honestly, continuously learn, and develop, and accept ownership and accountability for their actions as well as the quality of products and services for our customers. </w:t>
      </w:r>
      <w:r>
        <w:t xml:space="preserve"> </w:t>
      </w:r>
      <w:r w:rsidRPr="00071D89">
        <w:t>This culture is supported by an understanding of human factors and a commitment to continual improvement</w:t>
      </w:r>
      <w:r>
        <w:t>.</w:t>
      </w:r>
    </w:p>
    <w:p w14:paraId="6979D9FC" w14:textId="1C750622" w:rsidR="00071D89" w:rsidRDefault="00071D89" w:rsidP="00071D89">
      <w:pPr>
        <w:pStyle w:val="kj03123"/>
        <w:tabs>
          <w:tab w:val="clear" w:pos="360"/>
          <w:tab w:val="clear" w:pos="1267"/>
          <w:tab w:val="num" w:pos="1260"/>
        </w:tabs>
      </w:pPr>
      <w:r w:rsidRPr="00071D89">
        <w:t>VALUE:  We will delight our customers by providing exceptional products and services and continually enhancing our customers’ experience</w:t>
      </w:r>
      <w:r>
        <w:t>.</w:t>
      </w:r>
    </w:p>
    <w:p w14:paraId="505C48CD" w14:textId="3CC4B25B" w:rsidR="00071D89" w:rsidRDefault="00071D89" w:rsidP="00071D89">
      <w:pPr>
        <w:pStyle w:val="kj03123"/>
        <w:tabs>
          <w:tab w:val="clear" w:pos="360"/>
          <w:tab w:val="clear" w:pos="1267"/>
          <w:tab w:val="num" w:pos="1260"/>
        </w:tabs>
      </w:pPr>
      <w:r w:rsidRPr="00071D89">
        <w:t>COMPLIANCE:  We will meet or exceed all customer, regulatory, statutory, internal, and industrial requirements through continual improvement of our quality management system</w:t>
      </w:r>
      <w:r>
        <w:t>.</w:t>
      </w:r>
    </w:p>
    <w:p w14:paraId="1AFF5A89" w14:textId="282EF9F7" w:rsidR="00071D89" w:rsidRPr="00071D89" w:rsidRDefault="00071D89" w:rsidP="00071D89">
      <w:pPr>
        <w:pStyle w:val="kj03123"/>
      </w:pPr>
      <w:r w:rsidRPr="00071D89">
        <w:t>BEST-IN-CLASS OPERATIONS:  We will continually improve our people, products, processes, systems, and tools by leveraging a right first-time mindset through data driven decision-making</w:t>
      </w:r>
      <w:r>
        <w:t>.</w:t>
      </w:r>
    </w:p>
    <w:p w14:paraId="1D0E88D9" w14:textId="2D3831D4" w:rsidR="00CA1FAE" w:rsidRDefault="00CA1FAE" w:rsidP="00CA1FAE">
      <w:pPr>
        <w:pStyle w:val="kj0212TextOnly"/>
        <w:rPr>
          <w:rFonts w:cs="Arial"/>
          <w:bCs/>
          <w:szCs w:val="22"/>
        </w:rPr>
      </w:pPr>
      <w:r>
        <w:rPr>
          <w:rFonts w:cs="Arial"/>
          <w:bCs/>
          <w:szCs w:val="22"/>
        </w:rPr>
        <w:t>For updates to the GT Quality Policy, visit:</w:t>
      </w:r>
    </w:p>
    <w:p w14:paraId="588D790A" w14:textId="77777777" w:rsidR="00CA1FAE" w:rsidRPr="004E752A" w:rsidRDefault="001D5FBA" w:rsidP="004E752A">
      <w:pPr>
        <w:pStyle w:val="kj03123TextOnly"/>
        <w:numPr>
          <w:ilvl w:val="0"/>
          <w:numId w:val="16"/>
        </w:numPr>
        <w:rPr>
          <w:rStyle w:val="Hyperlink"/>
          <w:b/>
          <w:bCs/>
        </w:rPr>
      </w:pPr>
      <w:hyperlink r:id="rId11" w:history="1">
        <w:r w:rsidR="00CA1FAE" w:rsidRPr="004E752A">
          <w:rPr>
            <w:rStyle w:val="Hyperlink"/>
            <w:b/>
            <w:bCs/>
          </w:rPr>
          <w:t>www.gtweed.com/quality</w:t>
        </w:r>
      </w:hyperlink>
    </w:p>
    <w:p w14:paraId="46694CF9" w14:textId="77777777" w:rsidR="00CA1FAE" w:rsidRPr="004E752A" w:rsidRDefault="001D5FBA" w:rsidP="004E752A">
      <w:pPr>
        <w:pStyle w:val="kj03123TextOnly"/>
        <w:numPr>
          <w:ilvl w:val="0"/>
          <w:numId w:val="16"/>
        </w:numPr>
        <w:rPr>
          <w:rStyle w:val="Hyperlink"/>
          <w:b/>
          <w:bCs/>
        </w:rPr>
      </w:pPr>
      <w:hyperlink r:id="rId12" w:history="1">
        <w:r w:rsidR="00CA1FAE" w:rsidRPr="004E752A">
          <w:rPr>
            <w:rStyle w:val="Hyperlink"/>
            <w:b/>
            <w:bCs/>
          </w:rPr>
          <w:t>https://www.gtweed.com/wp-content/uploads/2023/12/Quality-Policy-CP-NBS-19.002-Rev-A-11-14-2023.pdf</w:t>
        </w:r>
      </w:hyperlink>
    </w:p>
    <w:p w14:paraId="7A9CE4A2" w14:textId="77777777" w:rsidR="00071D89" w:rsidRDefault="00071D89" w:rsidP="00CA1FAE">
      <w:pPr>
        <w:pStyle w:val="kj0212TextOnly"/>
      </w:pPr>
    </w:p>
    <w:p w14:paraId="6DDA7C27" w14:textId="77777777" w:rsidR="00071D89" w:rsidRDefault="001D5FBA" w:rsidP="00071D89">
      <w:hyperlink w:anchor="TableOfContents" w:history="1">
        <w:r w:rsidR="00071D89" w:rsidRPr="00066290">
          <w:rPr>
            <w:rStyle w:val="Hyperlink"/>
            <w:rFonts w:cs="Arial"/>
            <w:sz w:val="16"/>
            <w:szCs w:val="14"/>
          </w:rPr>
          <w:t>Return to Table of Contents</w:t>
        </w:r>
      </w:hyperlink>
      <w:r w:rsidR="00071D89">
        <w:br w:type="page"/>
      </w:r>
    </w:p>
    <w:bookmarkStart w:id="9" w:name="_Toc161133557"/>
    <w:p w14:paraId="098F9EFC" w14:textId="7ECD6E9F" w:rsidR="00CA1FAE" w:rsidRDefault="00CA1FAE" w:rsidP="00071D89">
      <w:pPr>
        <w:pStyle w:val="kj0212"/>
      </w:pPr>
      <w:r w:rsidRPr="00865577">
        <w:rPr>
          <w:noProof/>
        </w:rPr>
        <mc:AlternateContent>
          <mc:Choice Requires="wps">
            <w:drawing>
              <wp:anchor distT="45720" distB="45720" distL="114300" distR="114300" simplePos="0" relativeHeight="251674624" behindDoc="0" locked="0" layoutInCell="1" allowOverlap="1" wp14:anchorId="392CE8A7" wp14:editId="79AB23EB">
                <wp:simplePos x="0" y="0"/>
                <wp:positionH relativeFrom="column">
                  <wp:posOffset>-380365</wp:posOffset>
                </wp:positionH>
                <wp:positionV relativeFrom="paragraph">
                  <wp:posOffset>-35296</wp:posOffset>
                </wp:positionV>
                <wp:extent cx="365760" cy="1404620"/>
                <wp:effectExtent l="0" t="0" r="0" b="8890"/>
                <wp:wrapNone/>
                <wp:docPr id="1702675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404620"/>
                        </a:xfrm>
                        <a:prstGeom prst="rect">
                          <a:avLst/>
                        </a:prstGeom>
                        <a:solidFill>
                          <a:srgbClr val="FFFFFF"/>
                        </a:solidFill>
                        <a:ln w="9525">
                          <a:noFill/>
                          <a:miter lim="800000"/>
                          <a:headEnd/>
                          <a:tailEnd/>
                        </a:ln>
                      </wps:spPr>
                      <wps:txbx>
                        <w:txbxContent>
                          <w:p w14:paraId="54D1A4F2" w14:textId="77777777" w:rsidR="00CA1FAE" w:rsidRPr="006659B4" w:rsidRDefault="00CA1FAE" w:rsidP="00CA1FAE">
                            <w:pPr>
                              <w:tabs>
                                <w:tab w:val="left" w:pos="187"/>
                                <w:tab w:val="left" w:pos="547"/>
                                <w:tab w:val="left" w:pos="1267"/>
                                <w:tab w:val="left" w:pos="2160"/>
                                <w:tab w:val="left" w:pos="3240"/>
                                <w:tab w:val="left" w:pos="4320"/>
                                <w:tab w:val="left" w:pos="5760"/>
                                <w:tab w:val="left" w:pos="7387"/>
                              </w:tabs>
                              <w:jc w:val="right"/>
                              <w:rPr>
                                <w:rFonts w:cs="Arial"/>
                              </w:rPr>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2CE8A7" id="_x0000_s1027" type="#_x0000_t202" style="position:absolute;left:0;text-align:left;margin-left:-29.95pt;margin-top:-2.8pt;width:28.8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" stroked="f">
                <v:textbox style="mso-fit-shape-to-text:t">
                  <w:txbxContent>
                    <w:p w14:paraId="54D1A4F2" w14:textId="77777777" w:rsidR="00CA1FAE" w:rsidRPr="006659B4" w:rsidRDefault="00CA1FAE" w:rsidP="00CA1FAE">
                      <w:pPr>
                        <w:tabs>
                          <w:tab w:val="left" w:pos="187"/>
                          <w:tab w:val="left" w:pos="547"/>
                          <w:tab w:val="left" w:pos="1267"/>
                          <w:tab w:val="left" w:pos="2160"/>
                          <w:tab w:val="left" w:pos="3240"/>
                          <w:tab w:val="left" w:pos="4320"/>
                          <w:tab w:val="left" w:pos="5760"/>
                          <w:tab w:val="left" w:pos="7387"/>
                        </w:tabs>
                        <w:jc w:val="right"/>
                        <w:rPr>
                          <w:rFonts w:cs="Arial"/>
                        </w:rPr>
                      </w:pPr>
                      <w:r>
                        <w:t>|</w:t>
                      </w:r>
                    </w:p>
                  </w:txbxContent>
                </v:textbox>
              </v:shape>
            </w:pict>
          </mc:Fallback>
        </mc:AlternateContent>
      </w:r>
      <w:r>
        <w:t>Ethics</w:t>
      </w:r>
      <w:bookmarkEnd w:id="9"/>
    </w:p>
    <w:p w14:paraId="79CF0D95" w14:textId="1643E269" w:rsidR="00CA1FAE" w:rsidRDefault="00CA1FAE" w:rsidP="00CA1FAE">
      <w:pPr>
        <w:pStyle w:val="kj0212TextOnly"/>
      </w:pPr>
      <w:r w:rsidRPr="00CA1FAE">
        <w:t xml:space="preserve">GT, its affiliates, sub-contractors, Suppliers, and their sub suppliers are expected to conduct their business practices ethically based upon the expectations documented in this Handbook. </w:t>
      </w:r>
      <w:r>
        <w:t xml:space="preserve"> </w:t>
      </w:r>
      <w:r w:rsidRPr="00CA1FAE">
        <w:t xml:space="preserve">Suppliers shall communicate to and ensure that their employees and sub-tier suppliers are aware of the importance of ethical behavior in their business practices. </w:t>
      </w:r>
      <w:r w:rsidR="000677C7">
        <w:t xml:space="preserve"> </w:t>
      </w:r>
      <w:r w:rsidRPr="00CA1FAE">
        <w:t>In the case where an employee at GT, a supplier, or sub-contractor has cause to believe that an organization or individual(s) within that organization is not acting ethically based upon the expectations described in this Handbook, they are obligated to communicate such concerns immediately to GT leadership.</w:t>
      </w:r>
    </w:p>
    <w:p w14:paraId="07E42B88" w14:textId="6FAA7940" w:rsidR="00CA1FAE" w:rsidRDefault="009220FF" w:rsidP="00CA1FAE">
      <w:pPr>
        <w:pStyle w:val="kj03123"/>
        <w:tabs>
          <w:tab w:val="clear" w:pos="360"/>
          <w:tab w:val="clear" w:pos="1267"/>
          <w:tab w:val="num" w:pos="1260"/>
        </w:tabs>
      </w:pPr>
      <w:r w:rsidRPr="00420EEA">
        <w:rPr>
          <w:rFonts w:cs="Arial"/>
          <w:bCs/>
          <w:szCs w:val="22"/>
        </w:rPr>
        <w:t>GT supports the Responsible Business Alliance (RBA) Code of Conduct (formerly the Electronic Industry Citizenship Coalition) and requires our suppliers to acknowledge</w:t>
      </w:r>
      <w:r w:rsidRPr="00420EEA">
        <w:rPr>
          <w:bCs/>
          <w:szCs w:val="22"/>
        </w:rPr>
        <w:t xml:space="preserve"> and implement the Code.</w:t>
      </w:r>
      <w:r>
        <w:rPr>
          <w:bCs/>
          <w:szCs w:val="22"/>
        </w:rPr>
        <w:t xml:space="preserve"> </w:t>
      </w:r>
      <w:r w:rsidRPr="00420EEA">
        <w:rPr>
          <w:bCs/>
          <w:szCs w:val="22"/>
        </w:rPr>
        <w:t xml:space="preserve"> Details on the full RBA Code of Conduct can be accessed via the website</w:t>
      </w:r>
      <w:r>
        <w:rPr>
          <w:bCs/>
          <w:szCs w:val="22"/>
        </w:rPr>
        <w:t>:</w:t>
      </w:r>
    </w:p>
    <w:p w14:paraId="4BA235A4" w14:textId="77777777" w:rsidR="00CA1FAE" w:rsidRDefault="00CA1FAE" w:rsidP="009220FF">
      <w:pPr>
        <w:pStyle w:val="kj03123TextOnly"/>
      </w:pPr>
    </w:p>
    <w:p w14:paraId="3E53FDB8" w14:textId="77777777" w:rsidR="009220FF" w:rsidRPr="004E752A" w:rsidRDefault="009220FF" w:rsidP="004E752A">
      <w:pPr>
        <w:pStyle w:val="kj0212TextOnly"/>
        <w:numPr>
          <w:ilvl w:val="0"/>
          <w:numId w:val="17"/>
        </w:numPr>
        <w:rPr>
          <w:rStyle w:val="Hyperlink"/>
          <w:b/>
          <w:bCs/>
        </w:rPr>
      </w:pPr>
      <w:r w:rsidRPr="004E752A">
        <w:rPr>
          <w:rStyle w:val="Hyperlink"/>
          <w:b/>
          <w:bCs/>
        </w:rPr>
        <w:t>https://www.responsiblebusiness.org/code-of-conduct/</w:t>
      </w:r>
    </w:p>
    <w:p w14:paraId="3FB069F3" w14:textId="77777777" w:rsidR="009220FF" w:rsidRDefault="009220FF" w:rsidP="009220FF">
      <w:pPr>
        <w:pStyle w:val="kj03123TextOnly"/>
      </w:pPr>
    </w:p>
    <w:p w14:paraId="5ECF1B55" w14:textId="517362F9" w:rsidR="009220FF" w:rsidRPr="009220FF" w:rsidRDefault="009220FF" w:rsidP="009220FF">
      <w:pPr>
        <w:pStyle w:val="kj03123"/>
        <w:tabs>
          <w:tab w:val="clear" w:pos="360"/>
          <w:tab w:val="clear" w:pos="1267"/>
          <w:tab w:val="num" w:pos="1260"/>
        </w:tabs>
      </w:pPr>
      <w:r w:rsidRPr="00420EEA">
        <w:rPr>
          <w:bCs/>
          <w:szCs w:val="22"/>
        </w:rPr>
        <w:t xml:space="preserve">Our goal is to seek the most qualified partners to work with and to fully utilize their abilities, without regard to their race, color, national origin, age, disability, sex, sexual orientation, or religion. </w:t>
      </w:r>
      <w:r>
        <w:rPr>
          <w:bCs/>
          <w:szCs w:val="22"/>
        </w:rPr>
        <w:t xml:space="preserve"> </w:t>
      </w:r>
      <w:r w:rsidRPr="00420EEA">
        <w:rPr>
          <w:bCs/>
          <w:szCs w:val="22"/>
        </w:rPr>
        <w:t>Where this is contrary to local practice, we want to be among the leaders in the business community in this direction</w:t>
      </w:r>
      <w:r>
        <w:rPr>
          <w:bCs/>
          <w:szCs w:val="22"/>
        </w:rPr>
        <w:t>.</w:t>
      </w:r>
    </w:p>
    <w:p w14:paraId="370BB08B" w14:textId="0777CFFD" w:rsidR="009220FF" w:rsidRPr="00420EEA" w:rsidRDefault="009220FF" w:rsidP="009220FF">
      <w:pPr>
        <w:pStyle w:val="kj03123"/>
        <w:rPr>
          <w:b/>
        </w:rPr>
      </w:pPr>
      <w:r w:rsidRPr="00420EEA">
        <w:t>No employee shall take or offer bribes in any form whatsoever.</w:t>
      </w:r>
      <w:r>
        <w:t xml:space="preserve"> </w:t>
      </w:r>
      <w:r w:rsidRPr="00420EEA">
        <w:t xml:space="preserve"> Bribes include anything given or promised to induce a person to do something illegal, wrong or against his or her wishes. </w:t>
      </w:r>
      <w:r>
        <w:t xml:space="preserve"> </w:t>
      </w:r>
      <w:r w:rsidRPr="00420EEA">
        <w:t>In addition, GT personnel should make every reasonable effort to work with partners who also do not engage in this activity.</w:t>
      </w:r>
    </w:p>
    <w:p w14:paraId="31739E3E" w14:textId="3FEB0C12" w:rsidR="009220FF" w:rsidRDefault="009220FF" w:rsidP="009220FF">
      <w:pPr>
        <w:pStyle w:val="kj03123"/>
      </w:pPr>
      <w:r w:rsidRPr="00420EEA">
        <w:t xml:space="preserve">Expenditures of reasonable amounts for meals, entertainment of customers and suppliers that are lawful, ordinary, and customary business expenses, are expected. </w:t>
      </w:r>
      <w:r>
        <w:t xml:space="preserve"> </w:t>
      </w:r>
      <w:r w:rsidRPr="00420EEA">
        <w:t>Violation of the company bribery policy is considered gross misconduct</w:t>
      </w:r>
      <w:r>
        <w:t>.</w:t>
      </w:r>
    </w:p>
    <w:p w14:paraId="69B8257F" w14:textId="38939575" w:rsidR="009220FF" w:rsidRPr="009220FF" w:rsidRDefault="009220FF" w:rsidP="009220FF">
      <w:pPr>
        <w:pStyle w:val="kj03123"/>
      </w:pPr>
      <w:r w:rsidRPr="00420EEA">
        <w:rPr>
          <w:bCs/>
          <w:szCs w:val="22"/>
        </w:rPr>
        <w:t>GT respects the confidentiality of information given to us by our customers and suppliers</w:t>
      </w:r>
      <w:r>
        <w:rPr>
          <w:bCs/>
          <w:szCs w:val="22"/>
        </w:rPr>
        <w:t>.</w:t>
      </w:r>
    </w:p>
    <w:p w14:paraId="4F986F1A" w14:textId="77777777" w:rsidR="009220FF" w:rsidRPr="00420EEA" w:rsidRDefault="009220FF" w:rsidP="00C95A77">
      <w:pPr>
        <w:pStyle w:val="kj041234"/>
        <w:ind w:hanging="1080"/>
        <w:rPr>
          <w:b/>
        </w:rPr>
      </w:pPr>
      <w:r w:rsidRPr="00420EEA">
        <w:t>We will abide by the terms of the nondisclosure agreements.</w:t>
      </w:r>
    </w:p>
    <w:p w14:paraId="024EA721" w14:textId="631E718B" w:rsidR="009220FF" w:rsidRDefault="009220FF" w:rsidP="00C95A77">
      <w:pPr>
        <w:pStyle w:val="kj041234"/>
        <w:ind w:hanging="1080"/>
      </w:pPr>
      <w:r w:rsidRPr="00420EEA">
        <w:t>We will not share information presented to us as confidential or proprietary with any third party without permission and appropriate flow down of confidentiality</w:t>
      </w:r>
      <w:r w:rsidR="00C95A77">
        <w:t>.</w:t>
      </w:r>
    </w:p>
    <w:p w14:paraId="1C31DB08" w14:textId="70E4670D" w:rsidR="00ED237D" w:rsidRPr="00420EEA" w:rsidRDefault="00ED237D" w:rsidP="00ED237D">
      <w:pPr>
        <w:pStyle w:val="kj03123"/>
        <w:tabs>
          <w:tab w:val="clear" w:pos="360"/>
          <w:tab w:val="clear" w:pos="1267"/>
          <w:tab w:val="num" w:pos="1260"/>
        </w:tabs>
        <w:rPr>
          <w:b/>
        </w:rPr>
      </w:pPr>
      <w:r w:rsidRPr="00420EEA">
        <w:t xml:space="preserve">GT is committed to protecting our natural environment. </w:t>
      </w:r>
      <w:r>
        <w:t xml:space="preserve"> </w:t>
      </w:r>
      <w:r w:rsidRPr="00420EEA">
        <w:t>We are supportive of strong laws to assure this protection and will fully abide by both the letter and the spirit of all applicable environmental laws at all locations.</w:t>
      </w:r>
    </w:p>
    <w:p w14:paraId="3FAC8B43" w14:textId="77777777" w:rsidR="00ED237D" w:rsidRPr="00420EEA" w:rsidRDefault="00ED237D" w:rsidP="00ED237D">
      <w:pPr>
        <w:pStyle w:val="kj03123"/>
        <w:tabs>
          <w:tab w:val="clear" w:pos="360"/>
          <w:tab w:val="clear" w:pos="1267"/>
          <w:tab w:val="num" w:pos="1260"/>
        </w:tabs>
        <w:rPr>
          <w:b/>
        </w:rPr>
      </w:pPr>
      <w:r w:rsidRPr="00420EEA">
        <w:t>We will abide by all applicable laws governing fair competition at each location.</w:t>
      </w:r>
    </w:p>
    <w:p w14:paraId="3271A6CA" w14:textId="05525EFA" w:rsidR="00CA1FAE" w:rsidRDefault="00ED237D" w:rsidP="00ED237D">
      <w:pPr>
        <w:pStyle w:val="kj03123"/>
        <w:tabs>
          <w:tab w:val="clear" w:pos="360"/>
          <w:tab w:val="clear" w:pos="1267"/>
          <w:tab w:val="num" w:pos="1260"/>
        </w:tabs>
      </w:pPr>
      <w:r w:rsidRPr="00420EEA">
        <w:t xml:space="preserve">A conflict of interest is any circumstances that could compromise, or cast doubt, on your ability to act objectively regarding GT’s interests or any situation that benefits the individual to the detriment of the company. </w:t>
      </w:r>
      <w:r>
        <w:t xml:space="preserve"> </w:t>
      </w:r>
      <w:r w:rsidRPr="00420EEA">
        <w:t>Any personal or financial interest or business relationship (other than publicly traded) with a GT customer or supplier or competitor is a conflict of interest.</w:t>
      </w:r>
    </w:p>
    <w:p w14:paraId="352193EF" w14:textId="77777777" w:rsidR="003F6C08" w:rsidRDefault="001D5FBA" w:rsidP="003F6C08">
      <w:hyperlink w:anchor="TableOfContents" w:history="1">
        <w:r w:rsidR="003F6C08" w:rsidRPr="00066290">
          <w:rPr>
            <w:rStyle w:val="Hyperlink"/>
            <w:rFonts w:cs="Arial"/>
            <w:sz w:val="16"/>
            <w:szCs w:val="14"/>
          </w:rPr>
          <w:t>Return to Table of Contents</w:t>
        </w:r>
      </w:hyperlink>
      <w:r w:rsidR="003F6C08">
        <w:br w:type="page"/>
      </w:r>
    </w:p>
    <w:p w14:paraId="17F5E74B" w14:textId="059096D8" w:rsidR="00ED237D" w:rsidRPr="00420EEA" w:rsidRDefault="00ED237D" w:rsidP="00ED237D">
      <w:pPr>
        <w:pStyle w:val="kj03123"/>
        <w:tabs>
          <w:tab w:val="clear" w:pos="360"/>
          <w:tab w:val="clear" w:pos="1267"/>
          <w:tab w:val="num" w:pos="1260"/>
        </w:tabs>
        <w:rPr>
          <w:b/>
        </w:rPr>
      </w:pPr>
      <w:r w:rsidRPr="00420EEA">
        <w:t xml:space="preserve">As an ethical organization, GT seeks to avoid conflicts of interest. </w:t>
      </w:r>
      <w:r w:rsidR="00A64753">
        <w:t xml:space="preserve"> </w:t>
      </w:r>
      <w:r w:rsidRPr="00420EEA">
        <w:t xml:space="preserve">In the aforementioned working relationships, each employee is expected to maintain a high standard of ethical conduct and integrity. </w:t>
      </w:r>
      <w:r>
        <w:t xml:space="preserve"> </w:t>
      </w:r>
      <w:r w:rsidRPr="00420EEA">
        <w:t>This means in business matters with dual responsibility to the public and GT interest, each individual employee is a responsible custodian of GT’s reputation.</w:t>
      </w:r>
    </w:p>
    <w:p w14:paraId="1E0A9B56" w14:textId="16B1292F" w:rsidR="00ED237D" w:rsidRDefault="00ED237D" w:rsidP="00ED237D">
      <w:pPr>
        <w:pStyle w:val="kj03123"/>
        <w:tabs>
          <w:tab w:val="clear" w:pos="360"/>
          <w:tab w:val="clear" w:pos="1267"/>
          <w:tab w:val="num" w:pos="1260"/>
        </w:tabs>
      </w:pPr>
      <w:r w:rsidRPr="00420EEA">
        <w:t xml:space="preserve">Modern slavery is a crime and a violation of fundamental human rights. </w:t>
      </w:r>
      <w:r>
        <w:t xml:space="preserve"> </w:t>
      </w:r>
      <w:r w:rsidRPr="00420EEA">
        <w:t>It takes various forms, such as slavery, servitude, forced and compulsory labor and human trafficking, all of which have in common the deprivation of a person's liberty by another to exploit them for personal or commercial gain</w:t>
      </w:r>
      <w:r>
        <w:t>.</w:t>
      </w:r>
    </w:p>
    <w:p w14:paraId="551E0916" w14:textId="30E9AC4F" w:rsidR="00ED237D" w:rsidRDefault="00ED237D" w:rsidP="00ED237D">
      <w:pPr>
        <w:pStyle w:val="kj03123"/>
        <w:rPr>
          <w:b/>
        </w:rPr>
      </w:pPr>
      <w:r w:rsidRPr="00420EEA">
        <w:t>We have a zero-tolerance approach to modern slavery and are committed to acting ethically and with integrity in all our business dealings and relationships and to implementing and enforcing effective systems and controls to ensure modern slavery is not taking place anywhere in our own business or in any of our supply chains.</w:t>
      </w:r>
    </w:p>
    <w:p w14:paraId="7C4F65F5" w14:textId="0F842AE5" w:rsidR="00ED237D" w:rsidRDefault="00ED237D" w:rsidP="00ED237D">
      <w:pPr>
        <w:pStyle w:val="kj03123"/>
        <w:rPr>
          <w:b/>
        </w:rPr>
      </w:pPr>
      <w:r w:rsidRPr="00420EEA">
        <w:t>We expect the same high standards from all of our contractors, suppliers and other business partners, and as part of our contracting processes, we will include specific prohibitions against the use of forced, compulsory or trafficked labor, or anyone held in slavery or servitude, whether adults or children, and we expect that our suppliers will hold their sub-tier suppliers to the same high standards.</w:t>
      </w:r>
    </w:p>
    <w:p w14:paraId="12CEEAAC" w14:textId="5C6E3EA6" w:rsidR="00ED237D" w:rsidRDefault="00ED237D" w:rsidP="00ED237D">
      <w:pPr>
        <w:pStyle w:val="kj03123"/>
      </w:pPr>
      <w:r w:rsidRPr="00420EEA">
        <w:t>Our commitment to addressing the issue of modern slavery in our business and supply chains must be communicated to all suppliers, contractors, and business partners at the outset of our business relationship with them and reinforced as appropriate thereafter</w:t>
      </w:r>
      <w:r>
        <w:t>.</w:t>
      </w:r>
    </w:p>
    <w:p w14:paraId="3A0F58D1" w14:textId="11512A9C" w:rsidR="00CA1FAE" w:rsidRDefault="00ED237D" w:rsidP="00ED237D">
      <w:pPr>
        <w:pStyle w:val="kj0212"/>
        <w:tabs>
          <w:tab w:val="clear" w:pos="360"/>
          <w:tab w:val="clear" w:pos="547"/>
          <w:tab w:val="num" w:pos="540"/>
        </w:tabs>
      </w:pPr>
      <w:bookmarkStart w:id="10" w:name="_Toc161133558"/>
      <w:r>
        <w:t>Audits and Visits</w:t>
      </w:r>
      <w:bookmarkEnd w:id="10"/>
    </w:p>
    <w:p w14:paraId="35A2FEC0" w14:textId="38715161" w:rsidR="00ED237D" w:rsidRPr="00420EEA" w:rsidRDefault="00ED237D" w:rsidP="00ED237D">
      <w:pPr>
        <w:pStyle w:val="kj03123"/>
        <w:tabs>
          <w:tab w:val="clear" w:pos="360"/>
          <w:tab w:val="clear" w:pos="1267"/>
          <w:tab w:val="num" w:pos="1260"/>
        </w:tabs>
        <w:rPr>
          <w:b/>
        </w:rPr>
      </w:pPr>
      <w:r w:rsidRPr="00420EEA">
        <w:t xml:space="preserve">Per the purchase order terms </w:t>
      </w:r>
      <w:r w:rsidR="00A64753">
        <w:t>and</w:t>
      </w:r>
      <w:r w:rsidRPr="00420EEA">
        <w:t xml:space="preserve"> conditions, GT Supply Chain shall be allowed to visit and/or audit the quality of work, services performed, and material produced for GT at the supplier’s office, manufacturing facilities, and warehouses.</w:t>
      </w:r>
    </w:p>
    <w:p w14:paraId="34D6EA79" w14:textId="7C933692" w:rsidR="00CA1FAE" w:rsidRDefault="00ED237D" w:rsidP="00ED237D">
      <w:pPr>
        <w:pStyle w:val="kj03123"/>
        <w:tabs>
          <w:tab w:val="clear" w:pos="360"/>
          <w:tab w:val="clear" w:pos="1267"/>
          <w:tab w:val="num" w:pos="1260"/>
        </w:tabs>
      </w:pPr>
      <w:r w:rsidRPr="00420EEA">
        <w:t xml:space="preserve">GT Supply Chain may also visit or audit at any level of the supply chain the sub-tier supplier offices, manufacturing facilities, and warehouses </w:t>
      </w:r>
      <w:r>
        <w:t>with</w:t>
      </w:r>
      <w:r w:rsidRPr="00420EEA">
        <w:t xml:space="preserve"> the accompanying of a Tier 1 supplier representative. </w:t>
      </w:r>
      <w:r>
        <w:t xml:space="preserve"> </w:t>
      </w:r>
      <w:r w:rsidRPr="00420EEA">
        <w:t>Audits and visits may also include representatives of other GT departments, representatives of our customers, or government personnel</w:t>
      </w:r>
      <w:r>
        <w:t>.</w:t>
      </w:r>
    </w:p>
    <w:p w14:paraId="63658D02" w14:textId="344D406D" w:rsidR="00ED237D" w:rsidRPr="00420EEA" w:rsidRDefault="00ED237D" w:rsidP="00ED237D">
      <w:pPr>
        <w:pStyle w:val="kj03123"/>
        <w:tabs>
          <w:tab w:val="clear" w:pos="360"/>
          <w:tab w:val="clear" w:pos="1267"/>
          <w:tab w:val="num" w:pos="1260"/>
        </w:tabs>
        <w:rPr>
          <w:b/>
        </w:rPr>
      </w:pPr>
      <w:r w:rsidRPr="00420EEA">
        <w:t>Audits would be conducted in respect to the products and/or materials being procured under purchase order or supplier contracts, and a review of delivery, quality programs, and stock levels of both dedicated and standard inventory items.</w:t>
      </w:r>
    </w:p>
    <w:p w14:paraId="69A74135" w14:textId="773E9C5A" w:rsidR="00ED237D" w:rsidRDefault="000A0D93" w:rsidP="00ED237D">
      <w:pPr>
        <w:pStyle w:val="kj03123"/>
        <w:tabs>
          <w:tab w:val="clear" w:pos="360"/>
          <w:tab w:val="clear" w:pos="1267"/>
          <w:tab w:val="num" w:pos="1260"/>
        </w:tabs>
      </w:pPr>
      <w:r w:rsidRPr="00865577">
        <mc:AlternateContent>
          <mc:Choice Requires="wps">
            <w:drawing>
              <wp:anchor distT="45720" distB="45720" distL="114300" distR="114300" simplePos="0" relativeHeight="251676672" behindDoc="0" locked="0" layoutInCell="1" allowOverlap="1" wp14:anchorId="135C59A5" wp14:editId="47172C61">
                <wp:simplePos x="0" y="0"/>
                <wp:positionH relativeFrom="column">
                  <wp:posOffset>-389890</wp:posOffset>
                </wp:positionH>
                <wp:positionV relativeFrom="paragraph">
                  <wp:posOffset>494294</wp:posOffset>
                </wp:positionV>
                <wp:extent cx="365760" cy="1404620"/>
                <wp:effectExtent l="0" t="0" r="0" b="8890"/>
                <wp:wrapNone/>
                <wp:docPr id="603093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404620"/>
                        </a:xfrm>
                        <a:prstGeom prst="rect">
                          <a:avLst/>
                        </a:prstGeom>
                        <a:solidFill>
                          <a:srgbClr val="FFFFFF"/>
                        </a:solidFill>
                        <a:ln w="9525">
                          <a:noFill/>
                          <a:miter lim="800000"/>
                          <a:headEnd/>
                          <a:tailEnd/>
                        </a:ln>
                      </wps:spPr>
                      <wps:txbx>
                        <w:txbxContent>
                          <w:p w14:paraId="7C653215" w14:textId="77777777" w:rsidR="000A0D93" w:rsidRPr="006659B4" w:rsidRDefault="000A0D93" w:rsidP="000A0D93">
                            <w:pPr>
                              <w:tabs>
                                <w:tab w:val="left" w:pos="187"/>
                                <w:tab w:val="left" w:pos="547"/>
                                <w:tab w:val="left" w:pos="1267"/>
                                <w:tab w:val="left" w:pos="2160"/>
                                <w:tab w:val="left" w:pos="3240"/>
                                <w:tab w:val="left" w:pos="4320"/>
                                <w:tab w:val="left" w:pos="5760"/>
                                <w:tab w:val="left" w:pos="7387"/>
                              </w:tabs>
                              <w:jc w:val="right"/>
                              <w:rPr>
                                <w:rFonts w:cs="Arial"/>
                              </w:rPr>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5C59A5" id="_x0000_s1028" type="#_x0000_t202" style="position:absolute;left:0;text-align:left;margin-left:-30.7pt;margin-top:38.9pt;width:28.8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RBrEgIAAP0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" stroked="f">
                <v:textbox style="mso-fit-shape-to-text:t">
                  <w:txbxContent>
                    <w:p w14:paraId="7C653215" w14:textId="77777777" w:rsidR="000A0D93" w:rsidRPr="006659B4" w:rsidRDefault="000A0D93" w:rsidP="000A0D93">
                      <w:pPr>
                        <w:tabs>
                          <w:tab w:val="left" w:pos="187"/>
                          <w:tab w:val="left" w:pos="547"/>
                          <w:tab w:val="left" w:pos="1267"/>
                          <w:tab w:val="left" w:pos="2160"/>
                          <w:tab w:val="left" w:pos="3240"/>
                          <w:tab w:val="left" w:pos="4320"/>
                          <w:tab w:val="left" w:pos="5760"/>
                          <w:tab w:val="left" w:pos="7387"/>
                        </w:tabs>
                        <w:jc w:val="right"/>
                        <w:rPr>
                          <w:rFonts w:cs="Arial"/>
                        </w:rPr>
                      </w:pPr>
                      <w:r>
                        <w:t>|</w:t>
                      </w:r>
                    </w:p>
                  </w:txbxContent>
                </v:textbox>
              </v:shape>
            </w:pict>
          </mc:Fallback>
        </mc:AlternateContent>
      </w:r>
      <w:r w:rsidR="00ED237D" w:rsidRPr="00420EEA">
        <w:t xml:space="preserve">All suppliers must understand that such audits </w:t>
      </w:r>
      <w:r w:rsidR="00ED237D">
        <w:t>and</w:t>
      </w:r>
      <w:r w:rsidR="00ED237D" w:rsidRPr="00420EEA">
        <w:t xml:space="preserve"> visits may be mandated as part of the GT Quality Management System per ISO</w:t>
      </w:r>
      <w:r w:rsidR="00071D89">
        <w:t xml:space="preserve"> </w:t>
      </w:r>
      <w:r w:rsidR="00ED237D" w:rsidRPr="00420EEA">
        <w:t xml:space="preserve">9001 </w:t>
      </w:r>
      <w:r w:rsidR="00A64753">
        <w:t>and</w:t>
      </w:r>
      <w:r w:rsidR="00ED237D" w:rsidRPr="00420EEA">
        <w:t xml:space="preserve"> AS9100 or in accordance with specific GT customer requirements</w:t>
      </w:r>
      <w:r w:rsidR="00ED237D">
        <w:t>.</w:t>
      </w:r>
    </w:p>
    <w:p w14:paraId="3522374D" w14:textId="1BC738AC" w:rsidR="00CA1FAE" w:rsidRDefault="000A0D93" w:rsidP="000A0D93">
      <w:pPr>
        <w:pStyle w:val="kj0212"/>
        <w:tabs>
          <w:tab w:val="clear" w:pos="360"/>
          <w:tab w:val="clear" w:pos="547"/>
          <w:tab w:val="num" w:pos="540"/>
        </w:tabs>
      </w:pPr>
      <w:bookmarkStart w:id="11" w:name="_Toc161133559"/>
      <w:r>
        <w:t>E-Business Capability</w:t>
      </w:r>
      <w:bookmarkEnd w:id="11"/>
    </w:p>
    <w:p w14:paraId="2BBD8BBA" w14:textId="2D86CFC4" w:rsidR="00ED237D" w:rsidRPr="00BF4986" w:rsidRDefault="000A0D93" w:rsidP="000A0D93">
      <w:pPr>
        <w:pStyle w:val="kj03123"/>
        <w:tabs>
          <w:tab w:val="clear" w:pos="360"/>
          <w:tab w:val="clear" w:pos="1267"/>
          <w:tab w:val="num" w:pos="1260"/>
        </w:tabs>
      </w:pPr>
      <w:r w:rsidRPr="00420EEA">
        <w:rPr>
          <w:rFonts w:cs="Arial"/>
          <w:bCs/>
          <w:szCs w:val="22"/>
        </w:rPr>
        <w:t>At a minimum, suppliers shall have e-mail, internet access with internet browser, and document scanning capabilities for which to conduct business with GT.</w:t>
      </w:r>
      <w:r>
        <w:rPr>
          <w:rFonts w:cs="Arial"/>
          <w:bCs/>
          <w:szCs w:val="22"/>
        </w:rPr>
        <w:t xml:space="preserve"> </w:t>
      </w:r>
      <w:r w:rsidRPr="00420EEA">
        <w:rPr>
          <w:rFonts w:cs="Arial"/>
          <w:bCs/>
          <w:szCs w:val="22"/>
        </w:rPr>
        <w:t xml:space="preserve"> Digital photo capabilities are highly recommended to facilitate rapid response to some issues</w:t>
      </w:r>
      <w:r>
        <w:rPr>
          <w:rFonts w:cs="Arial"/>
          <w:bCs/>
          <w:szCs w:val="22"/>
        </w:rPr>
        <w:t>.</w:t>
      </w:r>
    </w:p>
    <w:p w14:paraId="5C8B1565" w14:textId="2939230C" w:rsidR="00BF4986" w:rsidRDefault="00BF4986" w:rsidP="000A0D93">
      <w:pPr>
        <w:pStyle w:val="kj03123"/>
        <w:tabs>
          <w:tab w:val="clear" w:pos="360"/>
          <w:tab w:val="clear" w:pos="1267"/>
          <w:tab w:val="num" w:pos="1260"/>
        </w:tabs>
      </w:pPr>
      <w:r>
        <w:t>GT has partnered with Jaggaer to provide our digital procurement platform automating numerous Supply Chain activites, such as:  supplier onboarding, sourcing activiites, purchase order management and advanced shipping notifications.  All GT suppliers, new and existing, are required to complete the vendor portal onboarding process through the Jaggaer portal to contiue doing business with GT.</w:t>
      </w:r>
    </w:p>
    <w:p w14:paraId="42E6FFEB" w14:textId="645519BA" w:rsidR="00BF4986" w:rsidRPr="00BF4986" w:rsidRDefault="00DE3ABD" w:rsidP="000A0D93">
      <w:pPr>
        <w:pStyle w:val="kj03123"/>
        <w:tabs>
          <w:tab w:val="clear" w:pos="360"/>
          <w:tab w:val="clear" w:pos="1267"/>
          <w:tab w:val="num" w:pos="1260"/>
        </w:tabs>
      </w:pPr>
      <w:r>
        <w:t>If you have log in credentials, use the link below to access the GT Vendor Portal</w:t>
      </w:r>
      <w:r w:rsidR="003F6C08">
        <w:t>.  Otherwise, reach out to your procurement contact to assist in setting up access.</w:t>
      </w:r>
    </w:p>
    <w:p w14:paraId="0C52B54F" w14:textId="77777777" w:rsidR="00DE3ABD" w:rsidRPr="004E752A" w:rsidRDefault="001D5FBA" w:rsidP="004E752A">
      <w:pPr>
        <w:pStyle w:val="kj0212TextOnly"/>
        <w:numPr>
          <w:ilvl w:val="0"/>
          <w:numId w:val="17"/>
        </w:numPr>
        <w:rPr>
          <w:rStyle w:val="Hyperlink"/>
          <w:b/>
          <w:bCs/>
        </w:rPr>
      </w:pPr>
      <w:hyperlink r:id="rId13" w:history="1">
        <w:r w:rsidR="00DE3ABD" w:rsidRPr="004E752A">
          <w:rPr>
            <w:rStyle w:val="Hyperlink"/>
            <w:b/>
            <w:bCs/>
          </w:rPr>
          <w:t>https://app11.jaggaer.com/portals/gt</w:t>
        </w:r>
      </w:hyperlink>
      <w:r w:rsidR="00DE3ABD" w:rsidRPr="004E752A">
        <w:rPr>
          <w:rStyle w:val="Hyperlink"/>
          <w:b/>
          <w:bCs/>
        </w:rPr>
        <w:t xml:space="preserve"> </w:t>
      </w:r>
    </w:p>
    <w:p w14:paraId="68956F8D" w14:textId="77777777" w:rsidR="00ED237D" w:rsidRDefault="00ED237D" w:rsidP="00DE3ABD">
      <w:pPr>
        <w:pStyle w:val="kj03123TextOnly"/>
      </w:pPr>
    </w:p>
    <w:bookmarkStart w:id="12" w:name="_Ref161043136"/>
    <w:bookmarkStart w:id="13" w:name="_Toc161133560"/>
    <w:p w14:paraId="4739ACF9" w14:textId="5CB4BCAA" w:rsidR="00ED237D" w:rsidRDefault="006075B3" w:rsidP="00DE3ABD">
      <w:pPr>
        <w:pStyle w:val="kj0212"/>
        <w:tabs>
          <w:tab w:val="clear" w:pos="360"/>
          <w:tab w:val="clear" w:pos="547"/>
          <w:tab w:val="num" w:pos="540"/>
        </w:tabs>
      </w:pPr>
      <w:r w:rsidRPr="00865577">
        <w:rPr>
          <w:noProof/>
        </w:rPr>
        <mc:AlternateContent>
          <mc:Choice Requires="wps">
            <w:drawing>
              <wp:anchor distT="45720" distB="45720" distL="114300" distR="114300" simplePos="0" relativeHeight="251678720" behindDoc="0" locked="0" layoutInCell="1" allowOverlap="1" wp14:anchorId="1CB6AEF6" wp14:editId="492A7B39">
                <wp:simplePos x="0" y="0"/>
                <wp:positionH relativeFrom="column">
                  <wp:posOffset>-391795</wp:posOffset>
                </wp:positionH>
                <wp:positionV relativeFrom="paragraph">
                  <wp:posOffset>-31486</wp:posOffset>
                </wp:positionV>
                <wp:extent cx="365760" cy="1404620"/>
                <wp:effectExtent l="0" t="0" r="0" b="8890"/>
                <wp:wrapNone/>
                <wp:docPr id="5357635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404620"/>
                        </a:xfrm>
                        <a:prstGeom prst="rect">
                          <a:avLst/>
                        </a:prstGeom>
                        <a:solidFill>
                          <a:srgbClr val="FFFFFF"/>
                        </a:solidFill>
                        <a:ln w="9525">
                          <a:noFill/>
                          <a:miter lim="800000"/>
                          <a:headEnd/>
                          <a:tailEnd/>
                        </a:ln>
                      </wps:spPr>
                      <wps:txbx>
                        <w:txbxContent>
                          <w:p w14:paraId="755DCBCF" w14:textId="77777777" w:rsidR="006075B3" w:rsidRPr="006659B4" w:rsidRDefault="006075B3" w:rsidP="006075B3">
                            <w:pPr>
                              <w:tabs>
                                <w:tab w:val="left" w:pos="187"/>
                                <w:tab w:val="left" w:pos="547"/>
                                <w:tab w:val="left" w:pos="1267"/>
                                <w:tab w:val="left" w:pos="2160"/>
                                <w:tab w:val="left" w:pos="3240"/>
                                <w:tab w:val="left" w:pos="4320"/>
                                <w:tab w:val="left" w:pos="5760"/>
                                <w:tab w:val="left" w:pos="7387"/>
                              </w:tabs>
                              <w:jc w:val="right"/>
                              <w:rPr>
                                <w:rFonts w:cs="Arial"/>
                              </w:rPr>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B6AEF6" id="_x0000_s1029" type="#_x0000_t202" style="position:absolute;left:0;text-align:left;margin-left:-30.85pt;margin-top:-2.5pt;width:28.8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n6dEgIAAP0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" stroked="f">
                <v:textbox style="mso-fit-shape-to-text:t">
                  <w:txbxContent>
                    <w:p w14:paraId="755DCBCF" w14:textId="77777777" w:rsidR="006075B3" w:rsidRPr="006659B4" w:rsidRDefault="006075B3" w:rsidP="006075B3">
                      <w:pPr>
                        <w:tabs>
                          <w:tab w:val="left" w:pos="187"/>
                          <w:tab w:val="left" w:pos="547"/>
                          <w:tab w:val="left" w:pos="1267"/>
                          <w:tab w:val="left" w:pos="2160"/>
                          <w:tab w:val="left" w:pos="3240"/>
                          <w:tab w:val="left" w:pos="4320"/>
                          <w:tab w:val="left" w:pos="5760"/>
                          <w:tab w:val="left" w:pos="7387"/>
                        </w:tabs>
                        <w:jc w:val="right"/>
                        <w:rPr>
                          <w:rFonts w:cs="Arial"/>
                        </w:rPr>
                      </w:pPr>
                      <w:r>
                        <w:t>|</w:t>
                      </w:r>
                    </w:p>
                  </w:txbxContent>
                </v:textbox>
              </v:shape>
            </w:pict>
          </mc:Fallback>
        </mc:AlternateContent>
      </w:r>
      <w:r w:rsidR="00DE3ABD">
        <w:t>Certifications</w:t>
      </w:r>
      <w:bookmarkEnd w:id="12"/>
      <w:bookmarkEnd w:id="13"/>
    </w:p>
    <w:p w14:paraId="35B91886" w14:textId="486F7740" w:rsidR="00DE3ABD" w:rsidRDefault="00DE3ABD" w:rsidP="006075B3">
      <w:pPr>
        <w:pStyle w:val="kj0212TextOnly"/>
      </w:pPr>
      <w:r w:rsidRPr="006075B3">
        <w:t>For GT to better serve its customers and markets, we maintain certifications and practices in accordance with ISO 9001</w:t>
      </w:r>
      <w:r w:rsidR="00227B71">
        <w:t xml:space="preserve"> and </w:t>
      </w:r>
      <w:r w:rsidR="00227B71" w:rsidRPr="006075B3">
        <w:t>AS9100</w:t>
      </w:r>
      <w:r w:rsidRPr="006075B3">
        <w:t xml:space="preserve"> (EN9100 for Europe) standards.  For a complete list of certifications, visit</w:t>
      </w:r>
      <w:r w:rsidR="006075B3">
        <w:t>:</w:t>
      </w:r>
    </w:p>
    <w:p w14:paraId="04D1C5B8" w14:textId="77777777" w:rsidR="006075B3" w:rsidRPr="004E752A" w:rsidRDefault="001D5FBA" w:rsidP="004E752A">
      <w:pPr>
        <w:pStyle w:val="kj0212TextOnly"/>
        <w:numPr>
          <w:ilvl w:val="0"/>
          <w:numId w:val="17"/>
        </w:numPr>
        <w:rPr>
          <w:rStyle w:val="Hyperlink"/>
          <w:b/>
          <w:bCs/>
        </w:rPr>
      </w:pPr>
      <w:hyperlink r:id="rId14" w:history="1">
        <w:r w:rsidR="006075B3" w:rsidRPr="004E752A">
          <w:rPr>
            <w:rStyle w:val="Hyperlink"/>
            <w:b/>
            <w:bCs/>
          </w:rPr>
          <w:t>www.gtweed.com/certifications</w:t>
        </w:r>
      </w:hyperlink>
      <w:r w:rsidR="006075B3" w:rsidRPr="004E752A">
        <w:rPr>
          <w:rStyle w:val="Hyperlink"/>
          <w:b/>
          <w:bCs/>
        </w:rPr>
        <w:t xml:space="preserve"> </w:t>
      </w:r>
    </w:p>
    <w:p w14:paraId="7E66F9C3" w14:textId="77777777" w:rsidR="006075B3" w:rsidRPr="006075B3" w:rsidRDefault="006075B3" w:rsidP="006075B3">
      <w:pPr>
        <w:pStyle w:val="kj0212TextOnly"/>
      </w:pPr>
    </w:p>
    <w:p w14:paraId="134C7276" w14:textId="77B71E30" w:rsidR="00DE3ABD" w:rsidRPr="00634E8F" w:rsidRDefault="006075B3" w:rsidP="00634E8F">
      <w:pPr>
        <w:pStyle w:val="kj03123"/>
      </w:pPr>
      <w:r w:rsidRPr="00634E8F">
        <w:t xml:space="preserve">We recommend that suppliers be certified to manufacturing standards that best support their business model.  While it is not a requirement for our suppliers to have any of the below certifications, </w:t>
      </w:r>
      <w:r w:rsidR="00634E8F" w:rsidRPr="00634E8F">
        <w:t>certification(s) may be required for products or services provided to GT as stated in contracts or PO’s</w:t>
      </w:r>
      <w:r w:rsidRPr="00634E8F">
        <w:t>.</w:t>
      </w:r>
    </w:p>
    <w:p w14:paraId="1E7D0B05" w14:textId="4BA34B28" w:rsidR="00DE3ABD" w:rsidRPr="006075B3" w:rsidRDefault="006075B3" w:rsidP="006075B3">
      <w:pPr>
        <w:pStyle w:val="kj041234"/>
        <w:ind w:hanging="1080"/>
      </w:pPr>
      <w:r w:rsidRPr="006075B3">
        <w:t>ISO 900</w:t>
      </w:r>
      <w:r w:rsidR="00DE19AB">
        <w:t>1</w:t>
      </w:r>
      <w:r w:rsidRPr="006075B3">
        <w:t>:  Quality Management Systems</w:t>
      </w:r>
    </w:p>
    <w:p w14:paraId="14BC8B12" w14:textId="70DC36CC" w:rsidR="006075B3" w:rsidRPr="006075B3" w:rsidRDefault="006075B3" w:rsidP="006075B3">
      <w:pPr>
        <w:pStyle w:val="kj041234"/>
        <w:ind w:hanging="1080"/>
      </w:pPr>
      <w:r w:rsidRPr="006075B3">
        <w:t xml:space="preserve">AS9100, AS9110, AS9120: </w:t>
      </w:r>
      <w:r>
        <w:t xml:space="preserve"> </w:t>
      </w:r>
      <w:r w:rsidRPr="006075B3">
        <w:t>Aerospace Management Standards</w:t>
      </w:r>
    </w:p>
    <w:p w14:paraId="7463BAB5" w14:textId="4B2F2F31" w:rsidR="006075B3" w:rsidRPr="006075B3" w:rsidRDefault="006075B3" w:rsidP="006075B3">
      <w:pPr>
        <w:pStyle w:val="kj041234"/>
        <w:ind w:hanging="1080"/>
      </w:pPr>
      <w:r w:rsidRPr="006075B3">
        <w:t xml:space="preserve">ISO 13485: </w:t>
      </w:r>
      <w:r>
        <w:t xml:space="preserve"> </w:t>
      </w:r>
      <w:r w:rsidRPr="006075B3">
        <w:t>Medical Device QMS</w:t>
      </w:r>
    </w:p>
    <w:p w14:paraId="6239C477" w14:textId="6C3237C0" w:rsidR="006075B3" w:rsidRPr="006075B3" w:rsidRDefault="006075B3" w:rsidP="006075B3">
      <w:pPr>
        <w:pStyle w:val="kj041234"/>
        <w:ind w:hanging="1080"/>
      </w:pPr>
      <w:r w:rsidRPr="006075B3">
        <w:t xml:space="preserve">ISO 14001: </w:t>
      </w:r>
      <w:r>
        <w:t xml:space="preserve"> </w:t>
      </w:r>
      <w:r w:rsidRPr="006075B3">
        <w:t>Environmental Management System</w:t>
      </w:r>
    </w:p>
    <w:p w14:paraId="3AD75980" w14:textId="5D91AF7E" w:rsidR="006075B3" w:rsidRDefault="006075B3" w:rsidP="006075B3">
      <w:pPr>
        <w:pStyle w:val="kj041234"/>
        <w:ind w:hanging="1080"/>
      </w:pPr>
      <w:r w:rsidRPr="006075B3">
        <w:t xml:space="preserve">TL9000: </w:t>
      </w:r>
      <w:r>
        <w:t xml:space="preserve"> </w:t>
      </w:r>
      <w:r w:rsidRPr="006075B3">
        <w:t>Telecommunications Expansion of ISO 9001</w:t>
      </w:r>
    </w:p>
    <w:p w14:paraId="5D017FDF" w14:textId="3D1DEE34" w:rsidR="00634E8F" w:rsidRDefault="00634E8F" w:rsidP="006075B3">
      <w:pPr>
        <w:pStyle w:val="kj041234"/>
        <w:ind w:hanging="1080"/>
      </w:pPr>
      <w:r>
        <w:t>ISO/ICE 17025:  Test Laboratories &amp; Calibration</w:t>
      </w:r>
    </w:p>
    <w:p w14:paraId="28FFAC10" w14:textId="633CA82A" w:rsidR="00634E8F" w:rsidRPr="006075B3" w:rsidRDefault="00634E8F" w:rsidP="006075B3">
      <w:pPr>
        <w:pStyle w:val="kj041234"/>
        <w:ind w:hanging="1080"/>
      </w:pPr>
      <w:r>
        <w:t>Special Processes &amp; Nadcap</w:t>
      </w:r>
    </w:p>
    <w:p w14:paraId="675BD642" w14:textId="0261A73D" w:rsidR="00DE3ABD" w:rsidRDefault="003506F2" w:rsidP="003506F2">
      <w:pPr>
        <w:pStyle w:val="kj0212"/>
        <w:tabs>
          <w:tab w:val="clear" w:pos="360"/>
          <w:tab w:val="clear" w:pos="547"/>
          <w:tab w:val="num" w:pos="540"/>
        </w:tabs>
      </w:pPr>
      <w:bookmarkStart w:id="14" w:name="_Toc161133561"/>
      <w:r>
        <w:t>Communications</w:t>
      </w:r>
      <w:bookmarkEnd w:id="14"/>
    </w:p>
    <w:p w14:paraId="71BB0567" w14:textId="64066A13" w:rsidR="00DE3ABD" w:rsidRPr="003506F2" w:rsidRDefault="003506F2" w:rsidP="003506F2">
      <w:pPr>
        <w:pStyle w:val="kj03123"/>
        <w:tabs>
          <w:tab w:val="clear" w:pos="360"/>
          <w:tab w:val="clear" w:pos="1267"/>
          <w:tab w:val="num" w:pos="1260"/>
        </w:tabs>
      </w:pPr>
      <w:r w:rsidRPr="00420EEA">
        <w:rPr>
          <w:rFonts w:cs="Arial"/>
          <w:bCs/>
          <w:szCs w:val="22"/>
        </w:rPr>
        <w:t xml:space="preserve">The GT Supply Chain Sourcing and/or Procurement Specialists are the designated points of contact for communications with suppliers. </w:t>
      </w:r>
      <w:r>
        <w:rPr>
          <w:rFonts w:cs="Arial"/>
          <w:bCs/>
          <w:szCs w:val="22"/>
        </w:rPr>
        <w:t xml:space="preserve"> </w:t>
      </w:r>
      <w:r w:rsidRPr="00420EEA">
        <w:rPr>
          <w:rFonts w:cs="Arial"/>
          <w:bCs/>
          <w:szCs w:val="22"/>
        </w:rPr>
        <w:t>The Supply Chain Sourcing and/or Procurement Specialists should always be copied on any communication between a supplier representative and any other GT functional department (e.g., Engineering, Quality, Planning, Customer Service, etc.</w:t>
      </w:r>
      <w:r>
        <w:rPr>
          <w:rFonts w:cs="Arial"/>
          <w:bCs/>
          <w:szCs w:val="22"/>
        </w:rPr>
        <w:t>).</w:t>
      </w:r>
    </w:p>
    <w:p w14:paraId="666D46E4" w14:textId="77777777" w:rsidR="003506F2" w:rsidRPr="00420EEA" w:rsidRDefault="003506F2" w:rsidP="003506F2">
      <w:pPr>
        <w:pStyle w:val="kj03123"/>
        <w:tabs>
          <w:tab w:val="clear" w:pos="360"/>
          <w:tab w:val="clear" w:pos="1267"/>
          <w:tab w:val="num" w:pos="1260"/>
        </w:tabs>
        <w:rPr>
          <w:b/>
        </w:rPr>
      </w:pPr>
      <w:r w:rsidRPr="00420EEA">
        <w:t>Suppliers should have a dedicated primary point of contact with at least one back-up contact in case of being out of the office or during emergencies.</w:t>
      </w:r>
    </w:p>
    <w:p w14:paraId="2303DE20" w14:textId="39CA8DB3" w:rsidR="003506F2" w:rsidRDefault="003506F2" w:rsidP="003506F2">
      <w:pPr>
        <w:pStyle w:val="kj03123"/>
        <w:tabs>
          <w:tab w:val="clear" w:pos="360"/>
          <w:tab w:val="clear" w:pos="1267"/>
          <w:tab w:val="num" w:pos="1260"/>
        </w:tabs>
      </w:pPr>
      <w:r w:rsidRPr="00420EEA">
        <w:t>The following are types of day-to-day communications with the suppliers and the expected response times</w:t>
      </w:r>
      <w:r w:rsidR="00BC5193">
        <w:t>:</w:t>
      </w:r>
    </w:p>
    <w:p w14:paraId="7B12F25E" w14:textId="20A4905C" w:rsidR="00BC5193" w:rsidRPr="00BC5193" w:rsidRDefault="00BC5193" w:rsidP="00BC5193">
      <w:pPr>
        <w:pStyle w:val="kj041234"/>
        <w:ind w:hanging="1080"/>
      </w:pPr>
      <w:r w:rsidRPr="00420EEA">
        <w:rPr>
          <w:rFonts w:cs="Arial"/>
          <w:bCs/>
          <w:szCs w:val="22"/>
        </w:rPr>
        <w:t xml:space="preserve">Request for Quote (RFQ) – Response expected within 2 business days for all suppliers except OSP (Outside service providers). </w:t>
      </w:r>
      <w:r>
        <w:rPr>
          <w:rFonts w:cs="Arial"/>
          <w:bCs/>
          <w:szCs w:val="22"/>
        </w:rPr>
        <w:t xml:space="preserve"> </w:t>
      </w:r>
      <w:r w:rsidRPr="00420EEA">
        <w:rPr>
          <w:rFonts w:cs="Arial"/>
          <w:bCs/>
          <w:szCs w:val="22"/>
        </w:rPr>
        <w:t>OSP quotes are those where GT will supply material and/or parts for processing and require a response within 1 business day</w:t>
      </w:r>
      <w:r>
        <w:rPr>
          <w:rFonts w:cs="Arial"/>
          <w:bCs/>
          <w:szCs w:val="22"/>
        </w:rPr>
        <w:t>.</w:t>
      </w:r>
    </w:p>
    <w:p w14:paraId="13D7EA96" w14:textId="08DF63E7" w:rsidR="00BC5193" w:rsidRPr="00BC5193" w:rsidRDefault="00BC5193" w:rsidP="00BC5193">
      <w:pPr>
        <w:pStyle w:val="kj041234"/>
        <w:ind w:hanging="1080"/>
      </w:pPr>
      <w:r w:rsidRPr="00420EEA">
        <w:rPr>
          <w:rFonts w:cs="Arial"/>
          <w:bCs/>
          <w:szCs w:val="22"/>
        </w:rPr>
        <w:t>Acknowledgement of purchase orders – Response expected within 1 business day indicating concurrence with costs, requirements, and delivery dates</w:t>
      </w:r>
      <w:r>
        <w:rPr>
          <w:rFonts w:cs="Arial"/>
          <w:bCs/>
          <w:szCs w:val="22"/>
        </w:rPr>
        <w:t>.</w:t>
      </w:r>
    </w:p>
    <w:p w14:paraId="3F783743" w14:textId="3A236F8C" w:rsidR="00BC5193" w:rsidRPr="00BC5193" w:rsidRDefault="00BC5193" w:rsidP="00BC5193">
      <w:pPr>
        <w:pStyle w:val="kj041234"/>
        <w:ind w:hanging="1080"/>
      </w:pPr>
      <w:r w:rsidRPr="00420EEA">
        <w:rPr>
          <w:rFonts w:cs="Arial"/>
          <w:bCs/>
          <w:szCs w:val="22"/>
        </w:rPr>
        <w:t>Expedite requests – Response expected within 4 hours</w:t>
      </w:r>
      <w:r>
        <w:rPr>
          <w:rFonts w:cs="Arial"/>
          <w:bCs/>
          <w:szCs w:val="22"/>
        </w:rPr>
        <w:t>.</w:t>
      </w:r>
    </w:p>
    <w:p w14:paraId="1C4A08B8" w14:textId="4F38FCE8" w:rsidR="00BC5193" w:rsidRPr="00BC5193" w:rsidRDefault="00BC5193" w:rsidP="00BC5193">
      <w:pPr>
        <w:pStyle w:val="kj041234"/>
        <w:ind w:hanging="1080"/>
      </w:pPr>
      <w:r w:rsidRPr="00420EEA">
        <w:rPr>
          <w:rFonts w:cs="Arial"/>
          <w:bCs/>
          <w:szCs w:val="22"/>
        </w:rPr>
        <w:t>OOR (Open order reports) – Response expected within 2 business days verifying the delivery status for all orders scheduled for the next 4 weeks</w:t>
      </w:r>
      <w:r>
        <w:rPr>
          <w:rFonts w:cs="Arial"/>
          <w:bCs/>
          <w:szCs w:val="22"/>
        </w:rPr>
        <w:t>.</w:t>
      </w:r>
    </w:p>
    <w:p w14:paraId="54EF6C34" w14:textId="6FAB7B09" w:rsidR="00BC5193" w:rsidRPr="00BC5193" w:rsidRDefault="00BC5193" w:rsidP="00BC5193">
      <w:pPr>
        <w:pStyle w:val="kj041234"/>
        <w:ind w:hanging="1080"/>
      </w:pPr>
      <w:r w:rsidRPr="00420EEA">
        <w:rPr>
          <w:rFonts w:cs="Arial"/>
          <w:bCs/>
          <w:szCs w:val="22"/>
        </w:rPr>
        <w:t xml:space="preserve">Supplier Surveys, proof of insurance, NDAs, and evidence of quality management system certifications – Completion </w:t>
      </w:r>
      <w:r w:rsidR="0030133D">
        <w:rPr>
          <w:rFonts w:cs="Arial"/>
          <w:bCs/>
          <w:szCs w:val="22"/>
        </w:rPr>
        <w:t>and</w:t>
      </w:r>
      <w:r w:rsidRPr="00420EEA">
        <w:rPr>
          <w:rFonts w:cs="Arial"/>
          <w:bCs/>
          <w:szCs w:val="22"/>
        </w:rPr>
        <w:t xml:space="preserve"> return expected within 2 weeks</w:t>
      </w:r>
      <w:r>
        <w:rPr>
          <w:rFonts w:cs="Arial"/>
          <w:bCs/>
          <w:szCs w:val="22"/>
        </w:rPr>
        <w:t>.</w:t>
      </w:r>
    </w:p>
    <w:p w14:paraId="096B3661" w14:textId="0348CF7B" w:rsidR="00BC5193" w:rsidRDefault="00BC5193" w:rsidP="00BC5193">
      <w:pPr>
        <w:pStyle w:val="kj041234"/>
        <w:ind w:hanging="1080"/>
      </w:pPr>
      <w:r w:rsidRPr="00420EEA">
        <w:rPr>
          <w:rFonts w:cs="Arial"/>
          <w:bCs/>
          <w:szCs w:val="22"/>
        </w:rPr>
        <w:t xml:space="preserve">Corrective action requests – Response expected within 1 business day with containment activities, 15 calendar days for the completed corrective action response plan unless otherwise specified by GT. </w:t>
      </w:r>
      <w:r>
        <w:rPr>
          <w:rFonts w:cs="Arial"/>
          <w:bCs/>
          <w:szCs w:val="22"/>
        </w:rPr>
        <w:t xml:space="preserve"> </w:t>
      </w:r>
      <w:r w:rsidRPr="00420EEA">
        <w:rPr>
          <w:rFonts w:cs="Arial"/>
          <w:bCs/>
          <w:szCs w:val="22"/>
        </w:rPr>
        <w:t>GT reserves the right to conduct an on-site verification audit of the corrective action effectiveness</w:t>
      </w:r>
      <w:r>
        <w:rPr>
          <w:rFonts w:cs="Arial"/>
          <w:bCs/>
          <w:szCs w:val="22"/>
        </w:rPr>
        <w:t>.</w:t>
      </w:r>
    </w:p>
    <w:p w14:paraId="46A8E370" w14:textId="3E998C4D" w:rsidR="00DE3ABD" w:rsidRPr="00BC5193" w:rsidRDefault="00BC5193" w:rsidP="00BC5193">
      <w:pPr>
        <w:pStyle w:val="kj03123"/>
        <w:tabs>
          <w:tab w:val="clear" w:pos="360"/>
          <w:tab w:val="clear" w:pos="1267"/>
          <w:tab w:val="num" w:pos="1260"/>
        </w:tabs>
      </w:pPr>
      <w:r w:rsidRPr="00420EEA">
        <w:rPr>
          <w:rFonts w:cs="Arial"/>
          <w:bCs/>
          <w:szCs w:val="22"/>
        </w:rPr>
        <w:t>Suppliers shall ensure that their employees as well as their sub-tier suppliers are aware of their contribution to conformity of the product or service and to product safety</w:t>
      </w:r>
      <w:r>
        <w:rPr>
          <w:rFonts w:cs="Arial"/>
          <w:bCs/>
          <w:szCs w:val="22"/>
        </w:rPr>
        <w:t>.</w:t>
      </w:r>
    </w:p>
    <w:p w14:paraId="0A5CAC73" w14:textId="4D9AA811" w:rsidR="00BC5193" w:rsidRDefault="00BC5193" w:rsidP="00BC5193">
      <w:pPr>
        <w:pStyle w:val="kj03123"/>
        <w:tabs>
          <w:tab w:val="clear" w:pos="360"/>
          <w:tab w:val="clear" w:pos="1267"/>
          <w:tab w:val="num" w:pos="1260"/>
        </w:tabs>
      </w:pPr>
      <w:r w:rsidRPr="00420EEA">
        <w:rPr>
          <w:rFonts w:cs="Arial"/>
          <w:bCs/>
          <w:szCs w:val="22"/>
        </w:rPr>
        <w:t xml:space="preserve">In the case that a supplier finds an issue or has a concern with a product that will be supplied to GT, the supplier needs to contact their GT Supply Chain Sourcing and/or Procurement Specialist as soon as possible to drive the resolution of the issue and not wait until the delivery date. </w:t>
      </w:r>
      <w:r>
        <w:rPr>
          <w:rFonts w:cs="Arial"/>
          <w:bCs/>
          <w:szCs w:val="22"/>
        </w:rPr>
        <w:t xml:space="preserve"> </w:t>
      </w:r>
      <w:r w:rsidRPr="00420EEA">
        <w:rPr>
          <w:rFonts w:cs="Arial"/>
          <w:bCs/>
          <w:szCs w:val="22"/>
        </w:rPr>
        <w:t xml:space="preserve">Open communications from both GT </w:t>
      </w:r>
      <w:r>
        <w:rPr>
          <w:rFonts w:cs="Arial"/>
          <w:bCs/>
          <w:szCs w:val="22"/>
        </w:rPr>
        <w:t>and</w:t>
      </w:r>
      <w:r w:rsidRPr="00420EEA">
        <w:rPr>
          <w:rFonts w:cs="Arial"/>
          <w:bCs/>
          <w:szCs w:val="22"/>
        </w:rPr>
        <w:t xml:space="preserve"> the supply base are critical to our mutual success</w:t>
      </w:r>
      <w:r>
        <w:rPr>
          <w:rFonts w:cs="Arial"/>
          <w:bCs/>
          <w:szCs w:val="22"/>
        </w:rPr>
        <w:t>.</w:t>
      </w:r>
    </w:p>
    <w:p w14:paraId="736A91D3" w14:textId="42F49ED0" w:rsidR="00BC5193" w:rsidRDefault="00BC5193" w:rsidP="00BC5193">
      <w:pPr>
        <w:pStyle w:val="kj0212"/>
        <w:tabs>
          <w:tab w:val="clear" w:pos="360"/>
        </w:tabs>
      </w:pPr>
      <w:bookmarkStart w:id="15" w:name="_Ref161038770"/>
      <w:bookmarkStart w:id="16" w:name="_Toc161133562"/>
      <w:r>
        <w:t>Confidentiality</w:t>
      </w:r>
      <w:bookmarkEnd w:id="15"/>
      <w:bookmarkEnd w:id="16"/>
    </w:p>
    <w:p w14:paraId="57FEEF84" w14:textId="56CE1B16" w:rsidR="00497442" w:rsidRPr="00420EEA" w:rsidRDefault="00497442" w:rsidP="00497442">
      <w:pPr>
        <w:pStyle w:val="kj03123"/>
        <w:tabs>
          <w:tab w:val="clear" w:pos="360"/>
          <w:tab w:val="clear" w:pos="1267"/>
          <w:tab w:val="num" w:pos="1260"/>
        </w:tabs>
        <w:rPr>
          <w:b/>
        </w:rPr>
      </w:pPr>
      <w:r w:rsidRPr="00420EEA">
        <w:t>When the supplier has been given access to GT proprietary information, the supplier shall take steps as are necessary to minimize the exposure of that information within its facility and to prevent it from exposure to third parties.</w:t>
      </w:r>
    </w:p>
    <w:p w14:paraId="6A377A56" w14:textId="4FD6B82F" w:rsidR="00497442" w:rsidRPr="00420EEA" w:rsidRDefault="00497442" w:rsidP="00497442">
      <w:pPr>
        <w:pStyle w:val="kj03123"/>
        <w:tabs>
          <w:tab w:val="clear" w:pos="360"/>
          <w:tab w:val="clear" w:pos="1267"/>
          <w:tab w:val="num" w:pos="1260"/>
        </w:tabs>
        <w:rPr>
          <w:b/>
        </w:rPr>
      </w:pPr>
      <w:r w:rsidRPr="00420EEA">
        <w:t xml:space="preserve">If the supplier determines that proprietary or confidential information has been or may have been compromised, they shall notify GT immediately. </w:t>
      </w:r>
      <w:r>
        <w:t xml:space="preserve"> </w:t>
      </w:r>
      <w:r w:rsidRPr="00420EEA">
        <w:t>All suppliers must have a Non-Disclosure Agreement (NDA) with GT and the supplier shall contact GT prior to passing proprietary information to a sub-tier supplier to determine if a separate NDA is required between GT and the sub-tier supplier.</w:t>
      </w:r>
    </w:p>
    <w:p w14:paraId="64BA23D7" w14:textId="7B64BE8F" w:rsidR="00DE3ABD" w:rsidRDefault="00497442" w:rsidP="00497442">
      <w:pPr>
        <w:pStyle w:val="kj03123"/>
        <w:tabs>
          <w:tab w:val="clear" w:pos="360"/>
          <w:tab w:val="clear" w:pos="1267"/>
          <w:tab w:val="num" w:pos="1260"/>
        </w:tabs>
      </w:pPr>
      <w:r w:rsidRPr="00420EEA">
        <w:t>Exception to the NDA requirement will be made for suppliers that exclusively provide off-the-shelf items, catalog items or advertising/marketing services</w:t>
      </w:r>
      <w:r>
        <w:t>.</w:t>
      </w:r>
    </w:p>
    <w:p w14:paraId="4B129213" w14:textId="2CE2F2D8" w:rsidR="00DE3ABD" w:rsidRDefault="000F521D" w:rsidP="000F521D">
      <w:pPr>
        <w:pStyle w:val="kj0212"/>
        <w:tabs>
          <w:tab w:val="clear" w:pos="360"/>
          <w:tab w:val="clear" w:pos="547"/>
          <w:tab w:val="num" w:pos="540"/>
        </w:tabs>
      </w:pPr>
      <w:bookmarkStart w:id="17" w:name="_Ref161037120"/>
      <w:bookmarkStart w:id="18" w:name="_Toc161133563"/>
      <w:r>
        <w:t>Counterfeit and Fraudulent Material Prevention</w:t>
      </w:r>
      <w:bookmarkEnd w:id="17"/>
      <w:bookmarkEnd w:id="18"/>
    </w:p>
    <w:p w14:paraId="60317F53" w14:textId="6A0F6BF3" w:rsidR="000F521D" w:rsidRPr="00D30857" w:rsidRDefault="000F521D" w:rsidP="000F521D">
      <w:pPr>
        <w:pStyle w:val="kj03123"/>
        <w:tabs>
          <w:tab w:val="clear" w:pos="360"/>
          <w:tab w:val="clear" w:pos="1267"/>
          <w:tab w:val="num" w:pos="1260"/>
        </w:tabs>
        <w:rPr>
          <w:b/>
        </w:rPr>
      </w:pPr>
      <w:r w:rsidRPr="00D30857">
        <w:t xml:space="preserve">To minimize the risk of procuring counterfeit or fraudulent material, the following requirements are invoked on all purchase orders to help ensure that conforming, authentic material is provided. </w:t>
      </w:r>
      <w:r>
        <w:t xml:space="preserve"> </w:t>
      </w:r>
      <w:r w:rsidRPr="00D30857">
        <w:t>These requirements of each of our suppliers are to be flowed down to each level of their sub-tier suppliers and be included in all lower-tier subcontracts which result in delivery of parts to GT.</w:t>
      </w:r>
    </w:p>
    <w:p w14:paraId="5C1D1A5F" w14:textId="6CAD3519" w:rsidR="00DE3ABD" w:rsidRDefault="000F521D" w:rsidP="000F521D">
      <w:pPr>
        <w:pStyle w:val="kj03123"/>
      </w:pPr>
      <w:r w:rsidRPr="00420EEA">
        <w:t>Definitions</w:t>
      </w:r>
      <w:r>
        <w:t>:</w:t>
      </w:r>
    </w:p>
    <w:p w14:paraId="36E2B69F" w14:textId="77777777" w:rsidR="000F521D" w:rsidRPr="00476036" w:rsidRDefault="000F521D" w:rsidP="000F521D">
      <w:pPr>
        <w:pStyle w:val="kj041234"/>
        <w:ind w:hanging="1080"/>
        <w:rPr>
          <w:b/>
        </w:rPr>
      </w:pPr>
      <w:r w:rsidRPr="00476036">
        <w:t>Suspect Part – A part in which there is an indication that it may have been misrepresented by the supplier, manufacturer, or service provider and may meet the definition of fraudulent or counterfeit part below.</w:t>
      </w:r>
    </w:p>
    <w:p w14:paraId="3284CC20" w14:textId="77777777" w:rsidR="000F521D" w:rsidRPr="00476036" w:rsidRDefault="000F521D" w:rsidP="000F521D">
      <w:pPr>
        <w:pStyle w:val="kj041234"/>
        <w:ind w:hanging="1080"/>
        <w:rPr>
          <w:b/>
        </w:rPr>
      </w:pPr>
      <w:r w:rsidRPr="00476036">
        <w:t>Fraudulent Part – Any suspect part misrepresented to GT as meeting GT requirements, GT specification, or a designated source of supply.</w:t>
      </w:r>
    </w:p>
    <w:p w14:paraId="30E9F7B8" w14:textId="631D10FF" w:rsidR="00DE3ABD" w:rsidRDefault="000F521D" w:rsidP="000F521D">
      <w:pPr>
        <w:pStyle w:val="kj041234"/>
        <w:ind w:hanging="1080"/>
      </w:pPr>
      <w:r w:rsidRPr="00476036">
        <w:t>Counterfeit Part – A fraudulent part that has been confirmed to be a copy, imitation, or substitute that has been represented, identified, or marked as genuine and/or altered by a source without legal right with intent to mislead, deceive, or defraud</w:t>
      </w:r>
      <w:r>
        <w:t>.</w:t>
      </w:r>
    </w:p>
    <w:p w14:paraId="223657A2" w14:textId="2CCE3BE8" w:rsidR="000F521D" w:rsidRPr="00D30857" w:rsidRDefault="000F521D" w:rsidP="000F521D">
      <w:pPr>
        <w:pStyle w:val="kj03123"/>
        <w:rPr>
          <w:b/>
        </w:rPr>
      </w:pPr>
      <w:r w:rsidRPr="00D30857">
        <w:t xml:space="preserve">The supplier warrants that fraudulent or counterfeit material shall not be supplied to GT or be utilized in the manufacture of GT products by the supplier. </w:t>
      </w:r>
      <w:r>
        <w:t xml:space="preserve"> </w:t>
      </w:r>
      <w:r w:rsidRPr="00D30857">
        <w:t>The supplier warrants that only new, unused, authentic, genuine, and legitimate materials shall be supplied to GT.</w:t>
      </w:r>
    </w:p>
    <w:p w14:paraId="62377569" w14:textId="7EDD01BA" w:rsidR="00DE3ABD" w:rsidRDefault="000F521D" w:rsidP="000F521D">
      <w:pPr>
        <w:pStyle w:val="kj03123"/>
        <w:tabs>
          <w:tab w:val="clear" w:pos="360"/>
          <w:tab w:val="clear" w:pos="1267"/>
          <w:tab w:val="num" w:pos="1260"/>
        </w:tabs>
      </w:pPr>
      <w:r w:rsidRPr="00D30857">
        <w:t>The supplier may only purchase or source materials directly from Original Component Manufacturers (OCM), OCM authorized (e.g., franchised) distributors, or aftermarket manufacturers as designated by GT print, specification, or purchase order</w:t>
      </w:r>
      <w:r>
        <w:t>.</w:t>
      </w:r>
    </w:p>
    <w:p w14:paraId="0F65DDFC" w14:textId="0AFB7A7B" w:rsidR="000F521D" w:rsidRPr="000F521D" w:rsidRDefault="000F521D" w:rsidP="000F521D">
      <w:pPr>
        <w:pStyle w:val="kj03123"/>
        <w:tabs>
          <w:tab w:val="clear" w:pos="360"/>
          <w:tab w:val="clear" w:pos="1267"/>
          <w:tab w:val="num" w:pos="1260"/>
        </w:tabs>
      </w:pPr>
      <w:r w:rsidRPr="00D30857">
        <w:rPr>
          <w:rFonts w:cs="Arial"/>
          <w:bCs/>
          <w:szCs w:val="22"/>
        </w:rPr>
        <w:t>Use, purchase, or the sourcing of items from non-OCM authorized independent distributors or brokers is not permitted unless first approved in writing by GT</w:t>
      </w:r>
      <w:r>
        <w:rPr>
          <w:rFonts w:cs="Arial"/>
          <w:bCs/>
          <w:szCs w:val="22"/>
        </w:rPr>
        <w:t>.</w:t>
      </w:r>
    </w:p>
    <w:p w14:paraId="61A88970" w14:textId="31F3ECCF" w:rsidR="000F521D" w:rsidRPr="000F521D" w:rsidRDefault="000F521D" w:rsidP="000F521D">
      <w:pPr>
        <w:pStyle w:val="kj03123"/>
        <w:tabs>
          <w:tab w:val="clear" w:pos="360"/>
          <w:tab w:val="clear" w:pos="1267"/>
          <w:tab w:val="num" w:pos="1260"/>
        </w:tabs>
      </w:pPr>
      <w:r w:rsidRPr="00865577">
        <mc:AlternateContent>
          <mc:Choice Requires="wps">
            <w:drawing>
              <wp:anchor distT="45720" distB="45720" distL="114300" distR="114300" simplePos="0" relativeHeight="251680768" behindDoc="0" locked="0" layoutInCell="1" allowOverlap="1" wp14:anchorId="0F56E4ED" wp14:editId="1ADD1CA8">
                <wp:simplePos x="0" y="0"/>
                <wp:positionH relativeFrom="column">
                  <wp:posOffset>-397881</wp:posOffset>
                </wp:positionH>
                <wp:positionV relativeFrom="paragraph">
                  <wp:posOffset>824230</wp:posOffset>
                </wp:positionV>
                <wp:extent cx="365760" cy="1404620"/>
                <wp:effectExtent l="0" t="0" r="0" b="8890"/>
                <wp:wrapNone/>
                <wp:docPr id="20658621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404620"/>
                        </a:xfrm>
                        <a:prstGeom prst="rect">
                          <a:avLst/>
                        </a:prstGeom>
                        <a:solidFill>
                          <a:srgbClr val="FFFFFF"/>
                        </a:solidFill>
                        <a:ln w="9525">
                          <a:noFill/>
                          <a:miter lim="800000"/>
                          <a:headEnd/>
                          <a:tailEnd/>
                        </a:ln>
                      </wps:spPr>
                      <wps:txbx>
                        <w:txbxContent>
                          <w:p w14:paraId="0907BD55" w14:textId="77777777" w:rsidR="000F521D" w:rsidRPr="006659B4" w:rsidRDefault="000F521D" w:rsidP="000F521D">
                            <w:pPr>
                              <w:tabs>
                                <w:tab w:val="left" w:pos="187"/>
                                <w:tab w:val="left" w:pos="547"/>
                                <w:tab w:val="left" w:pos="1267"/>
                                <w:tab w:val="left" w:pos="2160"/>
                                <w:tab w:val="left" w:pos="3240"/>
                                <w:tab w:val="left" w:pos="4320"/>
                                <w:tab w:val="left" w:pos="5760"/>
                                <w:tab w:val="left" w:pos="7387"/>
                              </w:tabs>
                              <w:jc w:val="right"/>
                              <w:rPr>
                                <w:rFonts w:cs="Arial"/>
                              </w:rPr>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56E4ED" id="_x0000_s1030" type="#_x0000_t202" style="position:absolute;left:0;text-align:left;margin-left:-31.35pt;margin-top:64.9pt;width:28.8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QzEgIAAP0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" stroked="f">
                <v:textbox style="mso-fit-shape-to-text:t">
                  <w:txbxContent>
                    <w:p w14:paraId="0907BD55" w14:textId="77777777" w:rsidR="000F521D" w:rsidRPr="006659B4" w:rsidRDefault="000F521D" w:rsidP="000F521D">
                      <w:pPr>
                        <w:tabs>
                          <w:tab w:val="left" w:pos="187"/>
                          <w:tab w:val="left" w:pos="547"/>
                          <w:tab w:val="left" w:pos="1267"/>
                          <w:tab w:val="left" w:pos="2160"/>
                          <w:tab w:val="left" w:pos="3240"/>
                          <w:tab w:val="left" w:pos="4320"/>
                          <w:tab w:val="left" w:pos="5760"/>
                          <w:tab w:val="left" w:pos="7387"/>
                        </w:tabs>
                        <w:jc w:val="right"/>
                        <w:rPr>
                          <w:rFonts w:cs="Arial"/>
                        </w:rPr>
                      </w:pPr>
                      <w:r>
                        <w:t>|</w:t>
                      </w:r>
                    </w:p>
                  </w:txbxContent>
                </v:textbox>
              </v:shape>
            </w:pict>
          </mc:Fallback>
        </mc:AlternateContent>
      </w:r>
      <w:r w:rsidRPr="00D30857">
        <w:rPr>
          <w:rFonts w:cs="Arial"/>
          <w:bCs/>
          <w:szCs w:val="22"/>
        </w:rPr>
        <w:t>The supplier must present compelling support for its request to use such non-OCM authorized suppliers for GT’s approval (including but not limited to OCM documentation that authenticates supply chain traceability of the parts to the OCM)</w:t>
      </w:r>
      <w:r w:rsidR="00AC2C11">
        <w:rPr>
          <w:rFonts w:cs="Arial"/>
          <w:bCs/>
          <w:szCs w:val="22"/>
        </w:rPr>
        <w:t>.  I</w:t>
      </w:r>
      <w:r w:rsidRPr="00D30857">
        <w:rPr>
          <w:rFonts w:cs="Arial"/>
          <w:bCs/>
          <w:szCs w:val="22"/>
        </w:rPr>
        <w:t>nclude</w:t>
      </w:r>
      <w:r w:rsidR="00AC2C11">
        <w:rPr>
          <w:rFonts w:cs="Arial"/>
          <w:bCs/>
          <w:szCs w:val="22"/>
        </w:rPr>
        <w:t>d</w:t>
      </w:r>
      <w:r w:rsidRPr="00D30857">
        <w:rPr>
          <w:rFonts w:cs="Arial"/>
          <w:bCs/>
          <w:szCs w:val="22"/>
        </w:rPr>
        <w:t xml:space="preserve"> in </w:t>
      </w:r>
      <w:r w:rsidR="00AC2C11">
        <w:rPr>
          <w:rFonts w:cs="Arial"/>
          <w:bCs/>
          <w:szCs w:val="22"/>
        </w:rPr>
        <w:t>the</w:t>
      </w:r>
      <w:r w:rsidRPr="00D30857">
        <w:rPr>
          <w:rFonts w:cs="Arial"/>
          <w:bCs/>
          <w:szCs w:val="22"/>
        </w:rPr>
        <w:t xml:space="preserve"> request </w:t>
      </w:r>
      <w:r w:rsidR="00AC2C11">
        <w:rPr>
          <w:rFonts w:cs="Arial"/>
          <w:bCs/>
          <w:szCs w:val="22"/>
        </w:rPr>
        <w:t xml:space="preserve">should be </w:t>
      </w:r>
      <w:r w:rsidRPr="00D30857">
        <w:rPr>
          <w:rFonts w:cs="Arial"/>
          <w:bCs/>
          <w:szCs w:val="22"/>
        </w:rPr>
        <w:t>all necessary actions it shall take to ensure those items are new, unused, authentic, genuine, and legitimate materials</w:t>
      </w:r>
      <w:r>
        <w:rPr>
          <w:rFonts w:cs="Arial"/>
          <w:bCs/>
          <w:szCs w:val="22"/>
        </w:rPr>
        <w:t>.</w:t>
      </w:r>
    </w:p>
    <w:p w14:paraId="3A109897" w14:textId="5F94732C" w:rsidR="000F521D" w:rsidRPr="000F521D" w:rsidRDefault="000F521D" w:rsidP="000F521D">
      <w:pPr>
        <w:pStyle w:val="kj03123"/>
        <w:tabs>
          <w:tab w:val="clear" w:pos="360"/>
          <w:tab w:val="clear" w:pos="1267"/>
          <w:tab w:val="num" w:pos="1260"/>
        </w:tabs>
      </w:pPr>
      <w:r w:rsidRPr="000F521D">
        <w:t>The supplier shall notify GT as soon as it becomes aware of any suspect, fraudulent, or counterfeit material which may have been supplied to GT, including any details regarding the material traceability to the original source of supply and all supply chain intermediaries involved in the processing and/or movement of the materials.  The supplier must also report any containment and corrective/preventive activities to GT</w:t>
      </w:r>
      <w:r>
        <w:t>.</w:t>
      </w:r>
    </w:p>
    <w:p w14:paraId="11A93928" w14:textId="66D94BCF" w:rsidR="00DE3ABD" w:rsidRDefault="00885AD7" w:rsidP="00885AD7">
      <w:pPr>
        <w:pStyle w:val="kj0212"/>
        <w:tabs>
          <w:tab w:val="clear" w:pos="360"/>
          <w:tab w:val="clear" w:pos="547"/>
          <w:tab w:val="num" w:pos="540"/>
        </w:tabs>
      </w:pPr>
      <w:bookmarkStart w:id="19" w:name="_Toc161133564"/>
      <w:r>
        <w:t>Payment of Invoices</w:t>
      </w:r>
      <w:bookmarkEnd w:id="19"/>
    </w:p>
    <w:p w14:paraId="40A5EA1A" w14:textId="7C9E8E92" w:rsidR="001F2E09" w:rsidRPr="002B68D5" w:rsidRDefault="001F2E09" w:rsidP="001F2E09">
      <w:pPr>
        <w:pStyle w:val="kj03123"/>
        <w:tabs>
          <w:tab w:val="clear" w:pos="360"/>
          <w:tab w:val="clear" w:pos="1267"/>
          <w:tab w:val="num" w:pos="1260"/>
        </w:tabs>
        <w:rPr>
          <w:b/>
        </w:rPr>
      </w:pPr>
      <w:r w:rsidRPr="002B68D5">
        <w:t xml:space="preserve">In accordance with the existing </w:t>
      </w:r>
      <w:r w:rsidR="00C52989">
        <w:t>GT</w:t>
      </w:r>
      <w:r w:rsidRPr="002B68D5">
        <w:t xml:space="preserve"> purchasing procedures, all invoices for goods and services from suppliers will not be paid unless there is a valid purchase order number referenced on the invoice.</w:t>
      </w:r>
    </w:p>
    <w:p w14:paraId="09CF3991" w14:textId="02360B85" w:rsidR="00DE3ABD" w:rsidRDefault="001F2E09" w:rsidP="001F2E09">
      <w:pPr>
        <w:pStyle w:val="kj03123"/>
        <w:tabs>
          <w:tab w:val="clear" w:pos="360"/>
          <w:tab w:val="clear" w:pos="1267"/>
          <w:tab w:val="num" w:pos="1260"/>
        </w:tabs>
      </w:pPr>
      <w:r w:rsidRPr="002B68D5">
        <w:t xml:space="preserve">A current list of GT credit references </w:t>
      </w:r>
      <w:r w:rsidR="00F10D8B">
        <w:t>and</w:t>
      </w:r>
      <w:r w:rsidRPr="002B68D5">
        <w:t xml:space="preserve"> company information is available to suppliers upon written request to the GT Supply Chain Sourcing and/or Procurement Specialist</w:t>
      </w:r>
      <w:r w:rsidR="006F7259">
        <w:t>.</w:t>
      </w:r>
    </w:p>
    <w:p w14:paraId="4D15A54B" w14:textId="6CD4B612" w:rsidR="00DE3ABD" w:rsidRDefault="006F7259" w:rsidP="006F7259">
      <w:pPr>
        <w:pStyle w:val="kj0212"/>
        <w:tabs>
          <w:tab w:val="clear" w:pos="360"/>
          <w:tab w:val="clear" w:pos="547"/>
          <w:tab w:val="num" w:pos="540"/>
        </w:tabs>
      </w:pPr>
      <w:bookmarkStart w:id="20" w:name="_Toc161133565"/>
      <w:r>
        <w:t>Performance Expectations</w:t>
      </w:r>
      <w:bookmarkEnd w:id="20"/>
    </w:p>
    <w:p w14:paraId="49F5E908" w14:textId="065B632B" w:rsidR="00972698" w:rsidRDefault="00972698" w:rsidP="00972698">
      <w:pPr>
        <w:pStyle w:val="kj03123"/>
        <w:tabs>
          <w:tab w:val="clear" w:pos="360"/>
          <w:tab w:val="clear" w:pos="1267"/>
          <w:tab w:val="num" w:pos="1260"/>
        </w:tabs>
        <w:rPr>
          <w:b/>
        </w:rPr>
      </w:pPr>
      <w:r w:rsidRPr="00420EEA">
        <w:t xml:space="preserve">GT strives for a goal of zero defects and 100% on time delivery. </w:t>
      </w:r>
      <w:r>
        <w:t xml:space="preserve"> </w:t>
      </w:r>
      <w:r w:rsidRPr="00420EEA">
        <w:t>Any issue that arises from a supplier facility which may jeopardize either of these goals should be communicated immediately to GT through the appropriate Supply Chain contact, both verbally and in written correspondence.</w:t>
      </w:r>
    </w:p>
    <w:p w14:paraId="79F9B171" w14:textId="257ECB8D" w:rsidR="00972698" w:rsidRDefault="00972698" w:rsidP="00972698">
      <w:pPr>
        <w:pStyle w:val="kj03123"/>
        <w:tabs>
          <w:tab w:val="clear" w:pos="360"/>
          <w:tab w:val="clear" w:pos="1267"/>
          <w:tab w:val="num" w:pos="1260"/>
        </w:tabs>
        <w:rPr>
          <w:b/>
        </w:rPr>
      </w:pPr>
      <w:r w:rsidRPr="00420EEA">
        <w:t xml:space="preserve">A defect is defined as a non-conformance to the GT print, material specification, or purchase order / contract requirement. </w:t>
      </w:r>
      <w:r>
        <w:t xml:space="preserve"> </w:t>
      </w:r>
      <w:r w:rsidRPr="00420EEA">
        <w:t xml:space="preserve">GT expects the suppliers’ top management to share its commitment to meeting customer quality </w:t>
      </w:r>
      <w:r>
        <w:t>and</w:t>
      </w:r>
      <w:r w:rsidRPr="00420EEA">
        <w:t xml:space="preserve"> delivery expectations through continuous improvement.</w:t>
      </w:r>
    </w:p>
    <w:p w14:paraId="18CC4AC1" w14:textId="47E55FE0" w:rsidR="006F7259" w:rsidRDefault="00972698" w:rsidP="00972698">
      <w:pPr>
        <w:pStyle w:val="kj03123"/>
        <w:tabs>
          <w:tab w:val="clear" w:pos="360"/>
          <w:tab w:val="clear" w:pos="1267"/>
          <w:tab w:val="num" w:pos="1260"/>
        </w:tabs>
      </w:pPr>
      <w:r w:rsidRPr="00420EEA">
        <w:t xml:space="preserve">The suppliers which demonstrate a commitment to innovation and deliver results which meet or exceed our performance expectations will have the opportunity to grow with </w:t>
      </w:r>
      <w:r>
        <w:t>GT</w:t>
      </w:r>
      <w:r w:rsidRPr="00420EEA">
        <w:t>, as we expand in the global marketplace</w:t>
      </w:r>
      <w:r>
        <w:t>.</w:t>
      </w:r>
    </w:p>
    <w:p w14:paraId="2926410B" w14:textId="497AE8B0" w:rsidR="006F7259" w:rsidRDefault="00972698" w:rsidP="00972698">
      <w:pPr>
        <w:pStyle w:val="kj0212"/>
        <w:tabs>
          <w:tab w:val="clear" w:pos="360"/>
          <w:tab w:val="clear" w:pos="547"/>
          <w:tab w:val="num" w:pos="540"/>
        </w:tabs>
      </w:pPr>
      <w:bookmarkStart w:id="21" w:name="_Toc161133566"/>
      <w:r>
        <w:t>Safety and Insurance</w:t>
      </w:r>
      <w:bookmarkEnd w:id="21"/>
    </w:p>
    <w:p w14:paraId="22179201" w14:textId="1C36AC00" w:rsidR="006F7259" w:rsidRPr="00AC2C11" w:rsidRDefault="00972698" w:rsidP="00972698">
      <w:pPr>
        <w:pStyle w:val="kj03123"/>
        <w:tabs>
          <w:tab w:val="clear" w:pos="360"/>
          <w:tab w:val="clear" w:pos="1267"/>
          <w:tab w:val="num" w:pos="1260"/>
        </w:tabs>
      </w:pPr>
      <w:r w:rsidRPr="00420EEA">
        <w:rPr>
          <w:rFonts w:cs="Arial"/>
          <w:bCs/>
          <w:szCs w:val="22"/>
        </w:rPr>
        <w:t xml:space="preserve">GT is committed to providing a safe work environment for its employees and visitors. </w:t>
      </w:r>
      <w:r>
        <w:rPr>
          <w:rFonts w:cs="Arial"/>
          <w:bCs/>
          <w:szCs w:val="22"/>
        </w:rPr>
        <w:t xml:space="preserve"> </w:t>
      </w:r>
      <w:r w:rsidRPr="00420EEA">
        <w:rPr>
          <w:rFonts w:cs="Arial"/>
          <w:bCs/>
          <w:szCs w:val="22"/>
        </w:rPr>
        <w:t>As part of this commitment, GT requires that Suppliers used for on-site contract facility services must attend a safety training session prior to on-site work, which is then reviewed on an annual basis thereafter</w:t>
      </w:r>
      <w:r>
        <w:rPr>
          <w:rFonts w:cs="Arial"/>
          <w:bCs/>
          <w:szCs w:val="22"/>
        </w:rPr>
        <w:t>.</w:t>
      </w:r>
    </w:p>
    <w:p w14:paraId="2109C257" w14:textId="77777777" w:rsidR="00AC2C11" w:rsidRDefault="001D5FBA" w:rsidP="00AC2C11">
      <w:hyperlink w:anchor="TableOfContents" w:history="1">
        <w:r w:rsidR="00AC2C11" w:rsidRPr="00066290">
          <w:rPr>
            <w:rStyle w:val="Hyperlink"/>
            <w:rFonts w:cs="Arial"/>
            <w:sz w:val="16"/>
            <w:szCs w:val="14"/>
          </w:rPr>
          <w:t>Return to Table of Contents</w:t>
        </w:r>
      </w:hyperlink>
      <w:r w:rsidR="00AC2C11">
        <w:br w:type="page"/>
      </w:r>
    </w:p>
    <w:p w14:paraId="2C0E6C46" w14:textId="7BCA288B" w:rsidR="00972698" w:rsidRDefault="00972698" w:rsidP="00972698">
      <w:pPr>
        <w:pStyle w:val="kj03123"/>
        <w:tabs>
          <w:tab w:val="clear" w:pos="360"/>
          <w:tab w:val="clear" w:pos="1267"/>
          <w:tab w:val="num" w:pos="1260"/>
        </w:tabs>
      </w:pPr>
      <w:r w:rsidRPr="00420EEA">
        <w:rPr>
          <w:rFonts w:cs="Arial"/>
          <w:bCs/>
          <w:szCs w:val="22"/>
        </w:rPr>
        <w:t xml:space="preserve">All suppliers that work on site or visit GT facilities will be required to show evidence of current liability and workers compensation insurance with appropriate waivers of subrogation and GT named as additional insured. </w:t>
      </w:r>
      <w:r>
        <w:rPr>
          <w:rFonts w:cs="Arial"/>
          <w:bCs/>
          <w:szCs w:val="22"/>
        </w:rPr>
        <w:t xml:space="preserve"> </w:t>
      </w:r>
      <w:r w:rsidRPr="00420EEA">
        <w:rPr>
          <w:rFonts w:cs="Arial"/>
          <w:bCs/>
          <w:szCs w:val="22"/>
        </w:rPr>
        <w:t xml:space="preserve">GT requires that all employees, visitors, and contractors comply with our personal protective equipment requirements, including the use of protective eyewear and safety shoes in designated areas of the facilities. </w:t>
      </w:r>
      <w:r>
        <w:rPr>
          <w:rFonts w:cs="Arial"/>
          <w:bCs/>
          <w:szCs w:val="22"/>
        </w:rPr>
        <w:t xml:space="preserve"> </w:t>
      </w:r>
      <w:r w:rsidRPr="00420EEA">
        <w:rPr>
          <w:rFonts w:cs="Arial"/>
          <w:bCs/>
          <w:szCs w:val="22"/>
        </w:rPr>
        <w:t>Local safety coordinators will provide further direction on specific requirements for each individual facility during the annual safety training</w:t>
      </w:r>
      <w:r>
        <w:rPr>
          <w:rFonts w:cs="Arial"/>
          <w:bCs/>
          <w:szCs w:val="22"/>
        </w:rPr>
        <w:t>.</w:t>
      </w:r>
    </w:p>
    <w:p w14:paraId="7122B7B9" w14:textId="3EDDF3B2" w:rsidR="006F7259" w:rsidRPr="00FE0C45" w:rsidRDefault="00FE0C45" w:rsidP="00FE0C45">
      <w:pPr>
        <w:pStyle w:val="kj03123"/>
        <w:tabs>
          <w:tab w:val="clear" w:pos="360"/>
          <w:tab w:val="clear" w:pos="1267"/>
          <w:tab w:val="num" w:pos="1260"/>
        </w:tabs>
      </w:pPr>
      <w:r w:rsidRPr="00865577">
        <mc:AlternateContent>
          <mc:Choice Requires="wps">
            <w:drawing>
              <wp:anchor distT="45720" distB="45720" distL="114300" distR="114300" simplePos="0" relativeHeight="251682816" behindDoc="0" locked="0" layoutInCell="1" allowOverlap="1" wp14:anchorId="0D429339" wp14:editId="414A5B86">
                <wp:simplePos x="0" y="0"/>
                <wp:positionH relativeFrom="column">
                  <wp:posOffset>-399151</wp:posOffset>
                </wp:positionH>
                <wp:positionV relativeFrom="paragraph">
                  <wp:posOffset>329565</wp:posOffset>
                </wp:positionV>
                <wp:extent cx="365760" cy="1404620"/>
                <wp:effectExtent l="0" t="0" r="0" b="8890"/>
                <wp:wrapNone/>
                <wp:docPr id="843707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404620"/>
                        </a:xfrm>
                        <a:prstGeom prst="rect">
                          <a:avLst/>
                        </a:prstGeom>
                        <a:solidFill>
                          <a:srgbClr val="FFFFFF"/>
                        </a:solidFill>
                        <a:ln w="9525">
                          <a:noFill/>
                          <a:miter lim="800000"/>
                          <a:headEnd/>
                          <a:tailEnd/>
                        </a:ln>
                      </wps:spPr>
                      <wps:txbx>
                        <w:txbxContent>
                          <w:p w14:paraId="592C2FAC" w14:textId="77777777" w:rsidR="00FE0C45" w:rsidRPr="006659B4" w:rsidRDefault="00FE0C45" w:rsidP="00FE0C45">
                            <w:pPr>
                              <w:tabs>
                                <w:tab w:val="left" w:pos="187"/>
                                <w:tab w:val="left" w:pos="547"/>
                                <w:tab w:val="left" w:pos="1267"/>
                                <w:tab w:val="left" w:pos="2160"/>
                                <w:tab w:val="left" w:pos="3240"/>
                                <w:tab w:val="left" w:pos="4320"/>
                                <w:tab w:val="left" w:pos="5760"/>
                                <w:tab w:val="left" w:pos="7387"/>
                              </w:tabs>
                              <w:jc w:val="right"/>
                              <w:rPr>
                                <w:rFonts w:cs="Arial"/>
                              </w:rPr>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429339" id="_x0000_s1031" type="#_x0000_t202" style="position:absolute;left:0;text-align:left;margin-left:-31.45pt;margin-top:25.95pt;width:28.8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rFEgIAAP0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" stroked="f">
                <v:textbox style="mso-fit-shape-to-text:t">
                  <w:txbxContent>
                    <w:p w14:paraId="592C2FAC" w14:textId="77777777" w:rsidR="00FE0C45" w:rsidRPr="006659B4" w:rsidRDefault="00FE0C45" w:rsidP="00FE0C45">
                      <w:pPr>
                        <w:tabs>
                          <w:tab w:val="left" w:pos="187"/>
                          <w:tab w:val="left" w:pos="547"/>
                          <w:tab w:val="left" w:pos="1267"/>
                          <w:tab w:val="left" w:pos="2160"/>
                          <w:tab w:val="left" w:pos="3240"/>
                          <w:tab w:val="left" w:pos="4320"/>
                          <w:tab w:val="left" w:pos="5760"/>
                          <w:tab w:val="left" w:pos="7387"/>
                        </w:tabs>
                        <w:jc w:val="right"/>
                        <w:rPr>
                          <w:rFonts w:cs="Arial"/>
                        </w:rPr>
                      </w:pPr>
                      <w:r>
                        <w:t>|</w:t>
                      </w:r>
                    </w:p>
                  </w:txbxContent>
                </v:textbox>
              </v:shape>
            </w:pict>
          </mc:Fallback>
        </mc:AlternateContent>
      </w:r>
      <w:r w:rsidRPr="00420EEA">
        <w:rPr>
          <w:rFonts w:cs="Arial"/>
          <w:bCs/>
          <w:szCs w:val="22"/>
        </w:rPr>
        <w:t xml:space="preserve">Suppliers shall ensure that their employees and sub-tier suppliers are aware of their contribution to product safety and safety </w:t>
      </w:r>
      <w:r w:rsidR="000704B1">
        <w:rPr>
          <w:rFonts w:cs="Arial"/>
          <w:bCs/>
          <w:szCs w:val="22"/>
        </w:rPr>
        <w:t xml:space="preserve">of </w:t>
      </w:r>
      <w:r w:rsidRPr="00420EEA">
        <w:rPr>
          <w:rFonts w:cs="Arial"/>
          <w:bCs/>
          <w:szCs w:val="22"/>
        </w:rPr>
        <w:t>others as they perform their activities</w:t>
      </w:r>
      <w:r>
        <w:rPr>
          <w:rFonts w:cs="Arial"/>
          <w:bCs/>
          <w:szCs w:val="22"/>
        </w:rPr>
        <w:t>.</w:t>
      </w:r>
    </w:p>
    <w:p w14:paraId="1CC5A329" w14:textId="46C4E247" w:rsidR="00FE0C45" w:rsidRPr="00334734" w:rsidRDefault="00FE0C45" w:rsidP="00FE0C45">
      <w:pPr>
        <w:pStyle w:val="kj03123"/>
        <w:tabs>
          <w:tab w:val="clear" w:pos="360"/>
          <w:tab w:val="clear" w:pos="1267"/>
          <w:tab w:val="num" w:pos="1260"/>
        </w:tabs>
        <w:rPr>
          <w:b/>
        </w:rPr>
      </w:pPr>
      <w:r w:rsidRPr="00334734">
        <w:t>Suppliers are expected to always carry and maintain Comprehensive General Liability Insurance while doing business with Greene, Tweed (GT) and its affiliates.</w:t>
      </w:r>
      <w:r>
        <w:t xml:space="preserve"> </w:t>
      </w:r>
      <w:r w:rsidRPr="00334734">
        <w:t xml:space="preserve"> In the event the insurance is dropped or changed in a way that affects the appropriate level of coverage for the industry in which materials are being provided, GT will be notified immediately.</w:t>
      </w:r>
    </w:p>
    <w:p w14:paraId="17CE639A" w14:textId="70740AC9" w:rsidR="00FE0C45" w:rsidRDefault="00FE0C45" w:rsidP="00FE0C45">
      <w:pPr>
        <w:pStyle w:val="kj03123"/>
        <w:tabs>
          <w:tab w:val="clear" w:pos="360"/>
          <w:tab w:val="clear" w:pos="1267"/>
          <w:tab w:val="num" w:pos="1260"/>
        </w:tabs>
      </w:pPr>
      <w:r w:rsidRPr="00334734">
        <w:t xml:space="preserve">Expectations regarding Insurance can vary depending upon the industry for which materials are being provided. </w:t>
      </w:r>
      <w:r>
        <w:t xml:space="preserve"> </w:t>
      </w:r>
      <w:r w:rsidRPr="00334734">
        <w:t>Please address any questions regarding appropriate levels of insurance coverage to GT’s procurement group</w:t>
      </w:r>
      <w:r>
        <w:t>.</w:t>
      </w:r>
    </w:p>
    <w:p w14:paraId="22AAFE6D" w14:textId="5D97B387" w:rsidR="00DE3ABD" w:rsidRDefault="00A9394F" w:rsidP="00A9394F">
      <w:pPr>
        <w:pStyle w:val="kj0212"/>
        <w:tabs>
          <w:tab w:val="clear" w:pos="360"/>
          <w:tab w:val="clear" w:pos="547"/>
          <w:tab w:val="num" w:pos="540"/>
        </w:tabs>
      </w:pPr>
      <w:bookmarkStart w:id="22" w:name="_Toc161133567"/>
      <w:r>
        <w:t>Terms and Conditions</w:t>
      </w:r>
      <w:bookmarkEnd w:id="22"/>
    </w:p>
    <w:p w14:paraId="3B911F63" w14:textId="749464CC" w:rsidR="00DE3ABD" w:rsidRDefault="00A9394F" w:rsidP="00A9394F">
      <w:pPr>
        <w:pStyle w:val="kj0212TextOnly"/>
      </w:pPr>
      <w:r>
        <w:t>Purchase order terms and conditions can be located on the GT internet web site as noted below:</w:t>
      </w:r>
    </w:p>
    <w:p w14:paraId="185C28BB" w14:textId="77777777" w:rsidR="00A9394F" w:rsidRPr="004E752A" w:rsidRDefault="001D5FBA" w:rsidP="004E752A">
      <w:pPr>
        <w:pStyle w:val="kj0212TextOnly"/>
        <w:numPr>
          <w:ilvl w:val="0"/>
          <w:numId w:val="17"/>
        </w:numPr>
        <w:rPr>
          <w:rStyle w:val="Hyperlink"/>
          <w:b/>
          <w:bCs/>
        </w:rPr>
      </w:pPr>
      <w:hyperlink r:id="rId15" w:history="1">
        <w:r w:rsidR="00A9394F" w:rsidRPr="004E752A">
          <w:rPr>
            <w:rStyle w:val="Hyperlink"/>
            <w:b/>
            <w:bCs/>
          </w:rPr>
          <w:t>https://www.gtweed.com/terms-and-conditions/</w:t>
        </w:r>
      </w:hyperlink>
    </w:p>
    <w:p w14:paraId="4DFA40DE" w14:textId="77777777" w:rsidR="00A9394F" w:rsidRDefault="00A9394F" w:rsidP="00A9394F">
      <w:pPr>
        <w:pStyle w:val="kj0212TextOnly"/>
      </w:pPr>
    </w:p>
    <w:p w14:paraId="171D3C23" w14:textId="18D90DF6" w:rsidR="00DE3ABD" w:rsidRDefault="00A9394F" w:rsidP="00A9394F">
      <w:pPr>
        <w:pStyle w:val="kj0212"/>
        <w:tabs>
          <w:tab w:val="clear" w:pos="360"/>
          <w:tab w:val="clear" w:pos="547"/>
          <w:tab w:val="num" w:pos="540"/>
        </w:tabs>
      </w:pPr>
      <w:bookmarkStart w:id="23" w:name="_Toc161133568"/>
      <w:r>
        <w:t>Traceability</w:t>
      </w:r>
      <w:bookmarkEnd w:id="23"/>
    </w:p>
    <w:p w14:paraId="194C74E8" w14:textId="39B9B902" w:rsidR="00DE3ABD" w:rsidRPr="003A6020" w:rsidRDefault="003A6020" w:rsidP="00A9394F">
      <w:pPr>
        <w:pStyle w:val="kj03123"/>
        <w:tabs>
          <w:tab w:val="clear" w:pos="360"/>
          <w:tab w:val="clear" w:pos="1267"/>
          <w:tab w:val="num" w:pos="1260"/>
        </w:tabs>
      </w:pPr>
      <w:r w:rsidRPr="003E5E22">
        <w:rPr>
          <w:rFonts w:cs="Arial"/>
          <w:bCs/>
          <w:szCs w:val="22"/>
        </w:rPr>
        <w:t xml:space="preserve">The supplier shall maintain a method of traceability that ensures tracking of the supply chain back to the manufacturer of all </w:t>
      </w:r>
      <w:r w:rsidRPr="001D648E">
        <w:rPr>
          <w:rFonts w:cs="Arial"/>
          <w:bCs/>
          <w:szCs w:val="22"/>
        </w:rPr>
        <w:t>items per Section 6.</w:t>
      </w:r>
      <w:r>
        <w:rPr>
          <w:rFonts w:cs="Arial"/>
          <w:bCs/>
          <w:szCs w:val="22"/>
        </w:rPr>
        <w:t>19</w:t>
      </w:r>
      <w:r w:rsidRPr="001D648E">
        <w:rPr>
          <w:rFonts w:cs="Arial"/>
          <w:bCs/>
          <w:szCs w:val="22"/>
        </w:rPr>
        <w:t xml:space="preserve"> of </w:t>
      </w:r>
      <w:r w:rsidRPr="003E5E22">
        <w:rPr>
          <w:rFonts w:cs="Arial"/>
          <w:bCs/>
          <w:szCs w:val="22"/>
        </w:rPr>
        <w:t>this Handbook</w:t>
      </w:r>
      <w:r>
        <w:rPr>
          <w:rFonts w:cs="Arial"/>
          <w:bCs/>
          <w:szCs w:val="22"/>
        </w:rPr>
        <w:t>.</w:t>
      </w:r>
    </w:p>
    <w:p w14:paraId="57B5B536" w14:textId="741AFBE7" w:rsidR="003A6020" w:rsidRPr="003A6020" w:rsidRDefault="003A6020" w:rsidP="00A9394F">
      <w:pPr>
        <w:pStyle w:val="kj03123"/>
        <w:tabs>
          <w:tab w:val="clear" w:pos="360"/>
          <w:tab w:val="clear" w:pos="1267"/>
          <w:tab w:val="num" w:pos="1260"/>
        </w:tabs>
      </w:pPr>
      <w:r w:rsidRPr="003E5E22">
        <w:rPr>
          <w:rFonts w:cs="Arial"/>
          <w:bCs/>
          <w:szCs w:val="22"/>
        </w:rPr>
        <w:t>This traceability method shall clearly identify the name and location of all supply chain intermediaries from the manufacturer to the direct source of each item for the Supplier and shall include the manufacturer's batch identification for the material such as but not limited to date codes, lot codes, serializations, or other batch identifications</w:t>
      </w:r>
      <w:r>
        <w:rPr>
          <w:rFonts w:cs="Arial"/>
          <w:bCs/>
          <w:szCs w:val="22"/>
        </w:rPr>
        <w:t>.</w:t>
      </w:r>
    </w:p>
    <w:p w14:paraId="65FC93D5" w14:textId="7A29BB25" w:rsidR="003A6020" w:rsidRPr="003A6020" w:rsidRDefault="003A6020" w:rsidP="00A9394F">
      <w:pPr>
        <w:pStyle w:val="kj03123"/>
        <w:tabs>
          <w:tab w:val="clear" w:pos="360"/>
          <w:tab w:val="clear" w:pos="1267"/>
          <w:tab w:val="num" w:pos="1260"/>
        </w:tabs>
      </w:pPr>
      <w:r w:rsidRPr="003E5E22">
        <w:rPr>
          <w:rFonts w:cs="Arial"/>
          <w:bCs/>
          <w:szCs w:val="22"/>
        </w:rPr>
        <w:t>Full supply chain traceability documentation may include but is not limited to OCM or OCM authorized distributor supplier certificates of conformity, purchase orders, test results, and inspection reports</w:t>
      </w:r>
      <w:r>
        <w:rPr>
          <w:rFonts w:cs="Arial"/>
          <w:bCs/>
          <w:szCs w:val="22"/>
        </w:rPr>
        <w:t>.</w:t>
      </w:r>
    </w:p>
    <w:p w14:paraId="6E9951A8" w14:textId="59E59058" w:rsidR="003A6020" w:rsidRDefault="003A6020" w:rsidP="00A9394F">
      <w:pPr>
        <w:pStyle w:val="kj03123"/>
        <w:tabs>
          <w:tab w:val="clear" w:pos="360"/>
          <w:tab w:val="clear" w:pos="1267"/>
          <w:tab w:val="num" w:pos="1260"/>
        </w:tabs>
      </w:pPr>
      <w:r w:rsidRPr="003E5E22">
        <w:rPr>
          <w:rFonts w:cs="Arial"/>
          <w:bCs/>
          <w:szCs w:val="22"/>
        </w:rPr>
        <w:t>The supplier shall notify GT as soon as it becomes aware of any suspect, fraudulent, or counterfeit material which may have been supplied to GT, including any details regarding the material traceability to the original source of supply and all supply chain intermediaries involved in the processing and/or movement of the materials.  The supplier must also report any containment and corrective/preventive activities to GT</w:t>
      </w:r>
      <w:r>
        <w:rPr>
          <w:rFonts w:cs="Arial"/>
          <w:bCs/>
          <w:szCs w:val="22"/>
        </w:rPr>
        <w:t>.</w:t>
      </w:r>
      <w:r w:rsidR="000704B1">
        <w:rPr>
          <w:rFonts w:cs="Arial"/>
          <w:bCs/>
          <w:szCs w:val="22"/>
        </w:rPr>
        <w:t xml:space="preserve">  See Section </w:t>
      </w:r>
      <w:r w:rsidR="000704B1">
        <w:rPr>
          <w:rFonts w:cs="Arial"/>
          <w:bCs/>
          <w:szCs w:val="22"/>
        </w:rPr>
        <w:fldChar w:fldCharType="begin"/>
      </w:r>
      <w:r w:rsidR="000704B1">
        <w:rPr>
          <w:rFonts w:cs="Arial"/>
          <w:bCs/>
          <w:szCs w:val="22"/>
        </w:rPr>
        <w:instrText xml:space="preserve"> REF _Ref161037120 \r \h </w:instrText>
      </w:r>
      <w:r w:rsidR="000704B1">
        <w:rPr>
          <w:rFonts w:cs="Arial"/>
          <w:bCs/>
          <w:szCs w:val="22"/>
        </w:rPr>
      </w:r>
      <w:r w:rsidR="000704B1">
        <w:rPr>
          <w:rFonts w:cs="Arial"/>
          <w:bCs/>
          <w:szCs w:val="22"/>
        </w:rPr>
        <w:fldChar w:fldCharType="separate"/>
      </w:r>
      <w:r w:rsidR="000704B1">
        <w:rPr>
          <w:rFonts w:cs="Arial"/>
          <w:bCs/>
          <w:szCs w:val="22"/>
        </w:rPr>
        <w:t>2.9</w:t>
      </w:r>
      <w:r w:rsidR="000704B1">
        <w:rPr>
          <w:rFonts w:cs="Arial"/>
          <w:bCs/>
          <w:szCs w:val="22"/>
        </w:rPr>
        <w:fldChar w:fldCharType="end"/>
      </w:r>
      <w:r w:rsidR="000704B1">
        <w:rPr>
          <w:rFonts w:cs="Arial"/>
          <w:bCs/>
          <w:szCs w:val="22"/>
        </w:rPr>
        <w:t>.</w:t>
      </w:r>
    </w:p>
    <w:p w14:paraId="3D27B557" w14:textId="127F51AD" w:rsidR="00066290" w:rsidRPr="00066290" w:rsidRDefault="00186118" w:rsidP="00066290">
      <w:pPr>
        <w:pStyle w:val="kj0010"/>
        <w:tabs>
          <w:tab w:val="clear" w:pos="360"/>
        </w:tabs>
        <w:rPr>
          <w:rFonts w:cs="Arial"/>
        </w:rPr>
      </w:pPr>
      <w:bookmarkStart w:id="24" w:name="_Toc161133569"/>
      <w:r>
        <w:rPr>
          <w:rFonts w:cs="Arial"/>
        </w:rPr>
        <w:t>Regulatory and GT Compliance</w:t>
      </w:r>
      <w:bookmarkEnd w:id="24"/>
    </w:p>
    <w:p w14:paraId="5D15F875" w14:textId="7E010792" w:rsidR="00066290" w:rsidRDefault="00186118" w:rsidP="00186118">
      <w:pPr>
        <w:pStyle w:val="kj0010TextOnly"/>
      </w:pPr>
      <w:r w:rsidRPr="00420EEA">
        <w:rPr>
          <w:rFonts w:cs="Arial"/>
          <w:bCs/>
          <w:szCs w:val="22"/>
        </w:rPr>
        <w:t xml:space="preserve">One of </w:t>
      </w:r>
      <w:r w:rsidR="00C63F1F">
        <w:rPr>
          <w:rFonts w:cs="Arial"/>
          <w:bCs/>
          <w:szCs w:val="22"/>
        </w:rPr>
        <w:t>GT’s</w:t>
      </w:r>
      <w:r w:rsidRPr="00420EEA">
        <w:rPr>
          <w:rFonts w:cs="Arial"/>
          <w:bCs/>
          <w:szCs w:val="22"/>
        </w:rPr>
        <w:t xml:space="preserve"> Commitments and Principles is to “conduct ourselves to the highest ethical and legal standards”.  To that end, GT is committed to complying with ever-changing, global, regulatory and consumer environmental, health, and safety (EHS) requirements, including the US Environmental Protection Agency’s Toxic Substances Control Act (TSCA) and the European Union's Restriction of Hazardous Substance Directive (RoHS) and Registration, Evaluation, Authorization and Restriction of Chemical substances (REACH), and ITAR (International Traffic in Arms Regulations</w:t>
      </w:r>
      <w:r w:rsidR="000826C1">
        <w:rPr>
          <w:rFonts w:cs="Arial"/>
          <w:bCs/>
          <w:szCs w:val="22"/>
        </w:rPr>
        <w:t>)</w:t>
      </w:r>
      <w:r w:rsidR="00066290" w:rsidRPr="00066290">
        <w:t>.</w:t>
      </w:r>
    </w:p>
    <w:p w14:paraId="2E8E6CDF" w14:textId="33FB3D4E" w:rsidR="00186118" w:rsidRDefault="00376AE6" w:rsidP="00376AE6">
      <w:pPr>
        <w:pStyle w:val="kj0212NOTFORTOC"/>
      </w:pPr>
      <w:r w:rsidRPr="00420EEA">
        <w:t xml:space="preserve">To assist in this effort, a Compliance Management System is used to help GT address the specific areas of concern. </w:t>
      </w:r>
      <w:r>
        <w:t xml:space="preserve"> </w:t>
      </w:r>
      <w:r w:rsidRPr="00420EEA">
        <w:t>The purpose of our Compliance Management System is to help ensure that rules are observed, violations are detected and remedied in a timely manner and that we comply with statutory obligations</w:t>
      </w:r>
      <w:r>
        <w:t>.</w:t>
      </w:r>
    </w:p>
    <w:p w14:paraId="7471CB80" w14:textId="4F7A0F32" w:rsidR="00186118" w:rsidRDefault="00376AE6" w:rsidP="00376AE6">
      <w:pPr>
        <w:pStyle w:val="kj0212NOTFORTOC"/>
      </w:pPr>
      <w:r w:rsidRPr="00420EEA">
        <w:rPr>
          <w:bCs/>
          <w:szCs w:val="22"/>
        </w:rPr>
        <w:t xml:space="preserve">Suppliers may receive requests for surveys, material safety data sheets (MSDS) or safety data sheets (SDS), and/or requests for specific vendor compliance certification to support GT compliance with current regulations in the markets GT serves.  Links to Regulatory Information can be </w:t>
      </w:r>
      <w:r w:rsidRPr="00622BBF">
        <w:rPr>
          <w:bCs/>
          <w:szCs w:val="22"/>
        </w:rPr>
        <w:t>found in Section 7.</w:t>
      </w:r>
      <w:r w:rsidR="00C950F8">
        <w:rPr>
          <w:bCs/>
          <w:szCs w:val="22"/>
        </w:rPr>
        <w:t>4</w:t>
      </w:r>
      <w:r w:rsidRPr="00622BBF">
        <w:rPr>
          <w:bCs/>
          <w:szCs w:val="22"/>
        </w:rPr>
        <w:t xml:space="preserve"> of this handbook</w:t>
      </w:r>
      <w:r>
        <w:rPr>
          <w:bCs/>
          <w:szCs w:val="22"/>
        </w:rPr>
        <w:t>.</w:t>
      </w:r>
    </w:p>
    <w:p w14:paraId="25DA6725" w14:textId="169D0A93" w:rsidR="00186118" w:rsidRDefault="00376AE6" w:rsidP="00376AE6">
      <w:pPr>
        <w:pStyle w:val="kj0212"/>
        <w:tabs>
          <w:tab w:val="clear" w:pos="360"/>
          <w:tab w:val="clear" w:pos="547"/>
          <w:tab w:val="num" w:pos="540"/>
        </w:tabs>
      </w:pPr>
      <w:bookmarkStart w:id="25" w:name="_Toc161133570"/>
      <w:r>
        <w:t>Conflict Minerals</w:t>
      </w:r>
      <w:bookmarkEnd w:id="25"/>
    </w:p>
    <w:p w14:paraId="161F40D8" w14:textId="123B901D" w:rsidR="00186118" w:rsidRDefault="00376AE6" w:rsidP="00376AE6">
      <w:pPr>
        <w:pStyle w:val="kj0212TextOnly"/>
      </w:pPr>
      <w:r w:rsidRPr="00420EEA">
        <w:rPr>
          <w:rFonts w:cs="Arial"/>
          <w:bCs/>
          <w:szCs w:val="22"/>
        </w:rPr>
        <w:t xml:space="preserve">On August 22, 2012, the United States SEC adopted its final rules implementing Section 1502 of Dodd-Frank, regarding “Conflict Minerals”. </w:t>
      </w:r>
      <w:r>
        <w:rPr>
          <w:rFonts w:cs="Arial"/>
          <w:bCs/>
          <w:szCs w:val="22"/>
        </w:rPr>
        <w:t xml:space="preserve"> </w:t>
      </w:r>
      <w:r w:rsidRPr="00420EEA">
        <w:rPr>
          <w:rFonts w:cs="Arial"/>
          <w:bCs/>
          <w:szCs w:val="22"/>
        </w:rPr>
        <w:t xml:space="preserve">The act is aimed at preventing human rights violations in conflict regions originating in the Democratic Republic of the Congo (DRC). </w:t>
      </w:r>
      <w:r>
        <w:rPr>
          <w:rFonts w:cs="Arial"/>
          <w:bCs/>
          <w:szCs w:val="22"/>
        </w:rPr>
        <w:t xml:space="preserve"> </w:t>
      </w:r>
      <w:r w:rsidRPr="00420EEA">
        <w:rPr>
          <w:rFonts w:cs="Arial"/>
          <w:bCs/>
          <w:szCs w:val="22"/>
        </w:rPr>
        <w:t xml:space="preserve">This ruling will require supplier verification of sourcing for four types of rare metals: tin, tantalum, tungsten and/or gold </w:t>
      </w:r>
      <w:r w:rsidR="000826C1">
        <w:rPr>
          <w:rFonts w:cs="Arial"/>
          <w:bCs/>
          <w:szCs w:val="22"/>
        </w:rPr>
        <w:t xml:space="preserve">(3TG) along with Cobalt and Mica </w:t>
      </w:r>
      <w:r w:rsidRPr="00420EEA">
        <w:rPr>
          <w:rFonts w:cs="Arial"/>
          <w:bCs/>
          <w:szCs w:val="22"/>
        </w:rPr>
        <w:t>as part of that commitment</w:t>
      </w:r>
      <w:r>
        <w:rPr>
          <w:rFonts w:cs="Arial"/>
          <w:bCs/>
          <w:szCs w:val="22"/>
        </w:rPr>
        <w:t>.</w:t>
      </w:r>
    </w:p>
    <w:p w14:paraId="1E911B43" w14:textId="682AA8CD" w:rsidR="00376AE6" w:rsidRPr="00420EEA" w:rsidRDefault="00376AE6" w:rsidP="00376AE6">
      <w:pPr>
        <w:pStyle w:val="kj03123"/>
        <w:tabs>
          <w:tab w:val="clear" w:pos="360"/>
          <w:tab w:val="clear" w:pos="1267"/>
          <w:tab w:val="num" w:pos="1260"/>
        </w:tabs>
        <w:rPr>
          <w:b/>
        </w:rPr>
      </w:pPr>
      <w:r w:rsidRPr="00420EEA">
        <w:t>Although GT is not subject to SEC filings, our customers do require that GT</w:t>
      </w:r>
      <w:r>
        <w:t xml:space="preserve"> </w:t>
      </w:r>
      <w:r w:rsidRPr="00420EEA">
        <w:t xml:space="preserve">provide updated smelter information on our products on an annual basis. </w:t>
      </w:r>
      <w:r>
        <w:t xml:space="preserve"> </w:t>
      </w:r>
      <w:r w:rsidRPr="00420EEA">
        <w:t>Therefore, GT will annually request this information from our suppliers to meet with our customers’ expectations.</w:t>
      </w:r>
    </w:p>
    <w:p w14:paraId="3FCFAC36" w14:textId="1BD6EF7F" w:rsidR="00376AE6" w:rsidRPr="00F332AD" w:rsidRDefault="00376AE6" w:rsidP="00376AE6">
      <w:pPr>
        <w:pStyle w:val="kj03123"/>
        <w:tabs>
          <w:tab w:val="clear" w:pos="360"/>
          <w:tab w:val="clear" w:pos="1267"/>
          <w:tab w:val="num" w:pos="1260"/>
        </w:tabs>
        <w:rPr>
          <w:b/>
        </w:rPr>
      </w:pPr>
      <w:r w:rsidRPr="00865577">
        <mc:AlternateContent>
          <mc:Choice Requires="wps">
            <w:drawing>
              <wp:anchor distT="45720" distB="45720" distL="114300" distR="114300" simplePos="0" relativeHeight="251684864" behindDoc="0" locked="0" layoutInCell="1" allowOverlap="1" wp14:anchorId="6C3E9879" wp14:editId="1E82D61B">
                <wp:simplePos x="0" y="0"/>
                <wp:positionH relativeFrom="column">
                  <wp:posOffset>-379466</wp:posOffset>
                </wp:positionH>
                <wp:positionV relativeFrom="paragraph">
                  <wp:posOffset>668020</wp:posOffset>
                </wp:positionV>
                <wp:extent cx="365760" cy="1404620"/>
                <wp:effectExtent l="0" t="0" r="0" b="8890"/>
                <wp:wrapNone/>
                <wp:docPr id="1778736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404620"/>
                        </a:xfrm>
                        <a:prstGeom prst="rect">
                          <a:avLst/>
                        </a:prstGeom>
                        <a:solidFill>
                          <a:srgbClr val="FFFFFF"/>
                        </a:solidFill>
                        <a:ln w="9525">
                          <a:noFill/>
                          <a:miter lim="800000"/>
                          <a:headEnd/>
                          <a:tailEnd/>
                        </a:ln>
                      </wps:spPr>
                      <wps:txbx>
                        <w:txbxContent>
                          <w:p w14:paraId="381201B3" w14:textId="77777777" w:rsidR="00376AE6" w:rsidRPr="006659B4" w:rsidRDefault="00376AE6" w:rsidP="00376AE6">
                            <w:pPr>
                              <w:tabs>
                                <w:tab w:val="left" w:pos="187"/>
                                <w:tab w:val="left" w:pos="547"/>
                                <w:tab w:val="left" w:pos="1267"/>
                                <w:tab w:val="left" w:pos="2160"/>
                                <w:tab w:val="left" w:pos="3240"/>
                                <w:tab w:val="left" w:pos="4320"/>
                                <w:tab w:val="left" w:pos="5760"/>
                                <w:tab w:val="left" w:pos="7387"/>
                              </w:tabs>
                              <w:jc w:val="right"/>
                              <w:rPr>
                                <w:rFonts w:cs="Arial"/>
                              </w:rPr>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3E9879" id="_x0000_s1032" type="#_x0000_t202" style="position:absolute;left:0;text-align:left;margin-left:-29.9pt;margin-top:52.6pt;width:28.8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gEEgIAAP0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" stroked="f">
                <v:textbox style="mso-fit-shape-to-text:t">
                  <w:txbxContent>
                    <w:p w14:paraId="381201B3" w14:textId="77777777" w:rsidR="00376AE6" w:rsidRPr="006659B4" w:rsidRDefault="00376AE6" w:rsidP="00376AE6">
                      <w:pPr>
                        <w:tabs>
                          <w:tab w:val="left" w:pos="187"/>
                          <w:tab w:val="left" w:pos="547"/>
                          <w:tab w:val="left" w:pos="1267"/>
                          <w:tab w:val="left" w:pos="2160"/>
                          <w:tab w:val="left" w:pos="3240"/>
                          <w:tab w:val="left" w:pos="4320"/>
                          <w:tab w:val="left" w:pos="5760"/>
                          <w:tab w:val="left" w:pos="7387"/>
                        </w:tabs>
                        <w:jc w:val="right"/>
                        <w:rPr>
                          <w:rFonts w:cs="Arial"/>
                        </w:rPr>
                      </w:pPr>
                      <w:r>
                        <w:t>|</w:t>
                      </w:r>
                    </w:p>
                  </w:txbxContent>
                </v:textbox>
              </v:shape>
            </w:pict>
          </mc:Fallback>
        </mc:AlternateContent>
      </w:r>
      <w:r w:rsidRPr="00420EEA">
        <w:t>The supplier shall notify GT in writing in the event they become aware of any reason to believe that the goods they supplied are not DRC Conflict Free.</w:t>
      </w:r>
      <w:r>
        <w:t xml:space="preserve"> </w:t>
      </w:r>
      <w:r w:rsidRPr="00420EEA">
        <w:t xml:space="preserve"> A list of compliant smelters and refiners can be obtained from the website </w:t>
      </w:r>
      <w:hyperlink r:id="rId16">
        <w:r w:rsidRPr="00420EEA">
          <w:t>http://www.conflictfreesourcing.org.</w:t>
        </w:r>
      </w:hyperlink>
    </w:p>
    <w:p w14:paraId="693F8888" w14:textId="596028CA" w:rsidR="00186118" w:rsidRDefault="00376AE6" w:rsidP="00376AE6">
      <w:pPr>
        <w:pStyle w:val="kj03123"/>
        <w:tabs>
          <w:tab w:val="clear" w:pos="360"/>
          <w:tab w:val="clear" w:pos="1267"/>
          <w:tab w:val="num" w:pos="1260"/>
        </w:tabs>
      </w:pPr>
      <w:r>
        <w:t>Use the below websites for information and reporting formats for conflict minerals:</w:t>
      </w:r>
    </w:p>
    <w:p w14:paraId="52FBD5A3" w14:textId="77777777" w:rsidR="00376AE6" w:rsidRPr="004E752A" w:rsidRDefault="001D5FBA" w:rsidP="004E752A">
      <w:pPr>
        <w:pStyle w:val="kj0212TextOnly"/>
        <w:numPr>
          <w:ilvl w:val="0"/>
          <w:numId w:val="17"/>
        </w:numPr>
        <w:rPr>
          <w:rStyle w:val="Hyperlink"/>
          <w:b/>
          <w:bCs/>
        </w:rPr>
      </w:pPr>
      <w:hyperlink r:id="rId17" w:history="1">
        <w:r w:rsidR="00376AE6" w:rsidRPr="004E752A">
          <w:rPr>
            <w:rStyle w:val="Hyperlink"/>
            <w:b/>
            <w:bCs/>
            <w:szCs w:val="22"/>
          </w:rPr>
          <w:t>https://www.state.gov/conflict-minerals/</w:t>
        </w:r>
      </w:hyperlink>
    </w:p>
    <w:p w14:paraId="223FBDC9" w14:textId="77777777" w:rsidR="00376AE6" w:rsidRPr="004E752A" w:rsidRDefault="001D5FBA" w:rsidP="004E752A">
      <w:pPr>
        <w:pStyle w:val="kj0212TextOnly"/>
        <w:numPr>
          <w:ilvl w:val="0"/>
          <w:numId w:val="17"/>
        </w:numPr>
        <w:rPr>
          <w:rStyle w:val="Hyperlink"/>
          <w:b/>
          <w:bCs/>
        </w:rPr>
      </w:pPr>
      <w:hyperlink r:id="rId18" w:history="1">
        <w:r w:rsidR="00376AE6" w:rsidRPr="004E752A">
          <w:rPr>
            <w:rStyle w:val="Hyperlink"/>
            <w:b/>
            <w:bCs/>
            <w:szCs w:val="22"/>
          </w:rPr>
          <w:t>https://www.responsiblemineralsinitiative.org/reporting-templates/cmrt/</w:t>
        </w:r>
      </w:hyperlink>
    </w:p>
    <w:p w14:paraId="4C897462" w14:textId="1FDD9F13" w:rsidR="00376AE6" w:rsidRDefault="001D5856" w:rsidP="00376AE6">
      <w:pPr>
        <w:pStyle w:val="kj03123TextOnly"/>
      </w:pPr>
      <w:r w:rsidRPr="00865577">
        <w:rPr>
          <w:noProof/>
        </w:rPr>
        <mc:AlternateContent>
          <mc:Choice Requires="wps">
            <w:drawing>
              <wp:anchor distT="45720" distB="45720" distL="114300" distR="114300" simplePos="0" relativeHeight="251686912" behindDoc="0" locked="0" layoutInCell="1" allowOverlap="1" wp14:anchorId="2B7BB56F" wp14:editId="545D099D">
                <wp:simplePos x="0" y="0"/>
                <wp:positionH relativeFrom="column">
                  <wp:posOffset>-396875</wp:posOffset>
                </wp:positionH>
                <wp:positionV relativeFrom="paragraph">
                  <wp:posOffset>183779</wp:posOffset>
                </wp:positionV>
                <wp:extent cx="365760" cy="1404620"/>
                <wp:effectExtent l="0" t="0" r="0" b="8890"/>
                <wp:wrapNone/>
                <wp:docPr id="1297104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404620"/>
                        </a:xfrm>
                        <a:prstGeom prst="rect">
                          <a:avLst/>
                        </a:prstGeom>
                        <a:solidFill>
                          <a:srgbClr val="FFFFFF"/>
                        </a:solidFill>
                        <a:ln w="9525">
                          <a:noFill/>
                          <a:miter lim="800000"/>
                          <a:headEnd/>
                          <a:tailEnd/>
                        </a:ln>
                      </wps:spPr>
                      <wps:txbx>
                        <w:txbxContent>
                          <w:p w14:paraId="690878F8" w14:textId="77777777" w:rsidR="001D5856" w:rsidRPr="006659B4" w:rsidRDefault="001D5856" w:rsidP="001D5856">
                            <w:pPr>
                              <w:tabs>
                                <w:tab w:val="left" w:pos="187"/>
                                <w:tab w:val="left" w:pos="547"/>
                                <w:tab w:val="left" w:pos="1267"/>
                                <w:tab w:val="left" w:pos="2160"/>
                                <w:tab w:val="left" w:pos="3240"/>
                                <w:tab w:val="left" w:pos="4320"/>
                                <w:tab w:val="left" w:pos="5760"/>
                                <w:tab w:val="left" w:pos="7387"/>
                              </w:tabs>
                              <w:jc w:val="right"/>
                              <w:rPr>
                                <w:rFonts w:cs="Arial"/>
                              </w:rPr>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7BB56F" id="_x0000_s1033" type="#_x0000_t202" style="position:absolute;left:0;text-align:left;margin-left:-31.25pt;margin-top:14.45pt;width:28.8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SbyEgIAAP0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" stroked="f">
                <v:textbox style="mso-fit-shape-to-text:t">
                  <w:txbxContent>
                    <w:p w14:paraId="690878F8" w14:textId="77777777" w:rsidR="001D5856" w:rsidRPr="006659B4" w:rsidRDefault="001D5856" w:rsidP="001D5856">
                      <w:pPr>
                        <w:tabs>
                          <w:tab w:val="left" w:pos="187"/>
                          <w:tab w:val="left" w:pos="547"/>
                          <w:tab w:val="left" w:pos="1267"/>
                          <w:tab w:val="left" w:pos="2160"/>
                          <w:tab w:val="left" w:pos="3240"/>
                          <w:tab w:val="left" w:pos="4320"/>
                          <w:tab w:val="left" w:pos="5760"/>
                          <w:tab w:val="left" w:pos="7387"/>
                        </w:tabs>
                        <w:jc w:val="right"/>
                        <w:rPr>
                          <w:rFonts w:cs="Arial"/>
                        </w:rPr>
                      </w:pPr>
                      <w:r>
                        <w:t>|</w:t>
                      </w:r>
                    </w:p>
                  </w:txbxContent>
                </v:textbox>
              </v:shape>
            </w:pict>
          </mc:Fallback>
        </mc:AlternateContent>
      </w:r>
    </w:p>
    <w:p w14:paraId="333F8170" w14:textId="4CA98EF1" w:rsidR="00186118" w:rsidRDefault="001D5856" w:rsidP="00376AE6">
      <w:pPr>
        <w:pStyle w:val="kj0212"/>
        <w:tabs>
          <w:tab w:val="clear" w:pos="360"/>
          <w:tab w:val="clear" w:pos="547"/>
          <w:tab w:val="num" w:pos="540"/>
        </w:tabs>
      </w:pPr>
      <w:bookmarkStart w:id="26" w:name="_Ref161044387"/>
      <w:bookmarkStart w:id="27" w:name="_Toc161133571"/>
      <w:r>
        <w:t>Copy Exact</w:t>
      </w:r>
      <w:bookmarkEnd w:id="26"/>
      <w:bookmarkEnd w:id="27"/>
    </w:p>
    <w:p w14:paraId="240FDD91" w14:textId="1046A4FA" w:rsidR="00186118" w:rsidRPr="001D5856" w:rsidRDefault="001D5856" w:rsidP="001D5856">
      <w:pPr>
        <w:pStyle w:val="kj0212TextOnly"/>
      </w:pPr>
      <w:r w:rsidRPr="001D5856">
        <w:t>Copy Exact is a disciplined approach for design and process change management throughout the supply chain and ensures true interchangeability of components and spare parts.</w:t>
      </w:r>
      <w:r>
        <w:t xml:space="preserve"> </w:t>
      </w:r>
      <w:r w:rsidRPr="001D5856">
        <w:t xml:space="preserve"> Suppliers providing materials in the Semiconductor industry are responsible for comp</w:t>
      </w:r>
      <w:r w:rsidR="00A57AD4">
        <w:t>l</w:t>
      </w:r>
      <w:r w:rsidRPr="001D5856">
        <w:t>eting this training</w:t>
      </w:r>
      <w:r>
        <w:t>.</w:t>
      </w:r>
    </w:p>
    <w:p w14:paraId="07675AB0" w14:textId="4478EFFA" w:rsidR="00186118" w:rsidRDefault="001D5856" w:rsidP="001D5856">
      <w:pPr>
        <w:pStyle w:val="kj03123"/>
        <w:tabs>
          <w:tab w:val="clear" w:pos="360"/>
          <w:tab w:val="clear" w:pos="1267"/>
          <w:tab w:val="num" w:pos="1260"/>
        </w:tabs>
      </w:pPr>
      <w:r>
        <w:t>Specific copy Exact training is available through the external GT website:</w:t>
      </w:r>
    </w:p>
    <w:p w14:paraId="567FA3E6" w14:textId="77777777" w:rsidR="006A476B" w:rsidRPr="004E752A" w:rsidRDefault="001D5FBA" w:rsidP="004E752A">
      <w:pPr>
        <w:pStyle w:val="kj0212TextOnly"/>
        <w:numPr>
          <w:ilvl w:val="0"/>
          <w:numId w:val="18"/>
        </w:numPr>
        <w:rPr>
          <w:rStyle w:val="Hyperlink"/>
          <w:b/>
          <w:bCs/>
        </w:rPr>
      </w:pPr>
      <w:hyperlink r:id="rId19" w:history="1">
        <w:r w:rsidR="006A476B" w:rsidRPr="004E752A">
          <w:rPr>
            <w:rStyle w:val="Hyperlink"/>
            <w:b/>
            <w:bCs/>
            <w:szCs w:val="22"/>
          </w:rPr>
          <w:t>https://www.gtweed.com/supplier-information/</w:t>
        </w:r>
      </w:hyperlink>
    </w:p>
    <w:p w14:paraId="2E3FD615" w14:textId="77777777" w:rsidR="001D5856" w:rsidRDefault="001D5856" w:rsidP="001D5856">
      <w:pPr>
        <w:pStyle w:val="kj03123TextOnly"/>
      </w:pPr>
    </w:p>
    <w:p w14:paraId="64A84C05" w14:textId="2A20979E" w:rsidR="006A476B" w:rsidRDefault="006A476B" w:rsidP="006A476B">
      <w:pPr>
        <w:pStyle w:val="kj03123"/>
        <w:tabs>
          <w:tab w:val="clear" w:pos="360"/>
          <w:tab w:val="clear" w:pos="1267"/>
          <w:tab w:val="num" w:pos="1260"/>
        </w:tabs>
        <w:rPr>
          <w:b/>
        </w:rPr>
      </w:pPr>
      <w:r>
        <w:t>Yearly t</w:t>
      </w:r>
      <w:r w:rsidRPr="00A2363F">
        <w:t xml:space="preserve">raining </w:t>
      </w:r>
      <w:r>
        <w:t>is</w:t>
      </w:r>
      <w:r w:rsidRPr="00A2363F">
        <w:t xml:space="preserve"> mandatory for all suppliers involved in the Semi-conductor sector</w:t>
      </w:r>
      <w:r>
        <w:t xml:space="preserve"> and is to be conducted </w:t>
      </w:r>
      <w:r w:rsidRPr="00A2363F">
        <w:t xml:space="preserve">with all personnel who are responsible for changes that impact the part </w:t>
      </w:r>
      <w:r>
        <w:t xml:space="preserve">fit-form-function </w:t>
      </w:r>
      <w:r w:rsidRPr="00A2363F">
        <w:t>or manufacturing processes</w:t>
      </w:r>
      <w:r>
        <w:t xml:space="preserve"> used.</w:t>
      </w:r>
    </w:p>
    <w:p w14:paraId="27795B6C" w14:textId="3039F335" w:rsidR="006A476B" w:rsidRPr="006A476B" w:rsidRDefault="006A476B" w:rsidP="006A476B">
      <w:pPr>
        <w:pStyle w:val="kj03123"/>
        <w:tabs>
          <w:tab w:val="clear" w:pos="360"/>
          <w:tab w:val="clear" w:pos="1267"/>
          <w:tab w:val="num" w:pos="1260"/>
        </w:tabs>
        <w:rPr>
          <w:b/>
        </w:rPr>
      </w:pPr>
      <w:r>
        <w:t>Training consists of reviewing a power point presentation by appropriate personnel, answering test questions, and a roster, signed by those who were trained and those responsible for managing training records.</w:t>
      </w:r>
    </w:p>
    <w:p w14:paraId="7AA134A5" w14:textId="771CA6A5" w:rsidR="006A476B" w:rsidRPr="006A476B" w:rsidRDefault="006A476B" w:rsidP="006A476B">
      <w:pPr>
        <w:pStyle w:val="kj03123"/>
        <w:tabs>
          <w:tab w:val="clear" w:pos="360"/>
          <w:tab w:val="clear" w:pos="1267"/>
          <w:tab w:val="num" w:pos="1260"/>
        </w:tabs>
        <w:rPr>
          <w:b/>
        </w:rPr>
      </w:pPr>
      <w:r>
        <w:t>Documents on the Website:</w:t>
      </w:r>
    </w:p>
    <w:p w14:paraId="4F4058F2" w14:textId="77777777" w:rsidR="006A476B" w:rsidRPr="00A2363F" w:rsidRDefault="006A476B" w:rsidP="006A476B">
      <w:pPr>
        <w:pStyle w:val="kj041234"/>
        <w:ind w:hanging="1080"/>
        <w:rPr>
          <w:b/>
        </w:rPr>
      </w:pPr>
      <w:r>
        <w:t xml:space="preserve">Training Materials </w:t>
      </w:r>
      <w:r w:rsidRPr="003D7980">
        <w:sym w:font="Wingdings" w:char="F0E8"/>
      </w:r>
      <w:r>
        <w:t xml:space="preserve"> </w:t>
      </w:r>
      <w:r w:rsidRPr="00A2363F">
        <w:t>Copy Exact Awareness Training: GT Supplier Change Control</w:t>
      </w:r>
    </w:p>
    <w:p w14:paraId="72A12BC7" w14:textId="4D305E45" w:rsidR="006A476B" w:rsidRPr="00A2363F" w:rsidRDefault="006A476B" w:rsidP="006A476B">
      <w:pPr>
        <w:pStyle w:val="kj041234"/>
        <w:ind w:hanging="1080"/>
        <w:rPr>
          <w:b/>
        </w:rPr>
      </w:pPr>
      <w:r>
        <w:t xml:space="preserve">Test Questions </w:t>
      </w:r>
      <w:r w:rsidR="0030133D">
        <w:t>and</w:t>
      </w:r>
      <w:r>
        <w:t xml:space="preserve"> Roster </w:t>
      </w:r>
      <w:r w:rsidRPr="003D7980">
        <w:sym w:font="Wingdings" w:char="F0E8"/>
      </w:r>
      <w:r>
        <w:t xml:space="preserve"> </w:t>
      </w:r>
      <w:r w:rsidRPr="00A2363F">
        <w:t>Copy Exact Training Test of Knowledg</w:t>
      </w:r>
      <w:r>
        <w:t>e</w:t>
      </w:r>
    </w:p>
    <w:p w14:paraId="16A8EE30" w14:textId="3E8201E8" w:rsidR="006A476B" w:rsidRDefault="006A476B" w:rsidP="006A476B">
      <w:pPr>
        <w:pStyle w:val="kj041234"/>
        <w:ind w:hanging="1080"/>
      </w:pPr>
      <w:r>
        <w:t xml:space="preserve">Test Answers </w:t>
      </w:r>
      <w:r w:rsidRPr="003D7980">
        <w:sym w:font="Wingdings" w:char="F0E8"/>
      </w:r>
      <w:r>
        <w:t xml:space="preserve"> </w:t>
      </w:r>
      <w:r w:rsidRPr="00A2363F">
        <w:t>Copy Exact Training Test Mas</w:t>
      </w:r>
      <w:r>
        <w:t>ter</w:t>
      </w:r>
    </w:p>
    <w:bookmarkStart w:id="28" w:name="_Toc161133572"/>
    <w:p w14:paraId="17168209" w14:textId="6F501435" w:rsidR="00186118" w:rsidRDefault="0026551D" w:rsidP="0026551D">
      <w:pPr>
        <w:pStyle w:val="kj0212"/>
        <w:tabs>
          <w:tab w:val="clear" w:pos="360"/>
          <w:tab w:val="clear" w:pos="547"/>
          <w:tab w:val="num" w:pos="540"/>
        </w:tabs>
      </w:pPr>
      <w:r w:rsidRPr="00865577">
        <w:rPr>
          <w:noProof/>
        </w:rPr>
        <mc:AlternateContent>
          <mc:Choice Requires="wps">
            <w:drawing>
              <wp:anchor distT="45720" distB="45720" distL="114300" distR="114300" simplePos="0" relativeHeight="251688960" behindDoc="0" locked="0" layoutInCell="1" allowOverlap="1" wp14:anchorId="6E241F20" wp14:editId="6DA7F57C">
                <wp:simplePos x="0" y="0"/>
                <wp:positionH relativeFrom="column">
                  <wp:posOffset>-379466</wp:posOffset>
                </wp:positionH>
                <wp:positionV relativeFrom="paragraph">
                  <wp:posOffset>-40005</wp:posOffset>
                </wp:positionV>
                <wp:extent cx="365760" cy="1404620"/>
                <wp:effectExtent l="0" t="0" r="0" b="8890"/>
                <wp:wrapNone/>
                <wp:docPr id="130732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404620"/>
                        </a:xfrm>
                        <a:prstGeom prst="rect">
                          <a:avLst/>
                        </a:prstGeom>
                        <a:solidFill>
                          <a:srgbClr val="FFFFFF"/>
                        </a:solidFill>
                        <a:ln w="9525">
                          <a:noFill/>
                          <a:miter lim="800000"/>
                          <a:headEnd/>
                          <a:tailEnd/>
                        </a:ln>
                      </wps:spPr>
                      <wps:txbx>
                        <w:txbxContent>
                          <w:p w14:paraId="39FA4C04" w14:textId="77777777" w:rsidR="0026551D" w:rsidRPr="006659B4" w:rsidRDefault="0026551D" w:rsidP="0026551D">
                            <w:pPr>
                              <w:tabs>
                                <w:tab w:val="left" w:pos="187"/>
                                <w:tab w:val="left" w:pos="547"/>
                                <w:tab w:val="left" w:pos="1267"/>
                                <w:tab w:val="left" w:pos="2160"/>
                                <w:tab w:val="left" w:pos="3240"/>
                                <w:tab w:val="left" w:pos="4320"/>
                                <w:tab w:val="left" w:pos="5760"/>
                                <w:tab w:val="left" w:pos="7387"/>
                              </w:tabs>
                              <w:jc w:val="right"/>
                              <w:rPr>
                                <w:rFonts w:cs="Arial"/>
                              </w:rPr>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241F20" id="_x0000_s1034" type="#_x0000_t202" style="position:absolute;left:0;text-align:left;margin-left:-29.9pt;margin-top:-3.15pt;width:28.8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w2CEQIAAP0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" stroked="f">
                <v:textbox style="mso-fit-shape-to-text:t">
                  <w:txbxContent>
                    <w:p w14:paraId="39FA4C04" w14:textId="77777777" w:rsidR="0026551D" w:rsidRPr="006659B4" w:rsidRDefault="0026551D" w:rsidP="0026551D">
                      <w:pPr>
                        <w:tabs>
                          <w:tab w:val="left" w:pos="187"/>
                          <w:tab w:val="left" w:pos="547"/>
                          <w:tab w:val="left" w:pos="1267"/>
                          <w:tab w:val="left" w:pos="2160"/>
                          <w:tab w:val="left" w:pos="3240"/>
                          <w:tab w:val="left" w:pos="4320"/>
                          <w:tab w:val="left" w:pos="5760"/>
                          <w:tab w:val="left" w:pos="7387"/>
                        </w:tabs>
                        <w:jc w:val="right"/>
                        <w:rPr>
                          <w:rFonts w:cs="Arial"/>
                        </w:rPr>
                      </w:pPr>
                      <w:r>
                        <w:t>|</w:t>
                      </w:r>
                    </w:p>
                  </w:txbxContent>
                </v:textbox>
              </v:shape>
            </w:pict>
          </mc:Fallback>
        </mc:AlternateContent>
      </w:r>
      <w:r>
        <w:t>Environmental Compliance</w:t>
      </w:r>
      <w:bookmarkEnd w:id="28"/>
    </w:p>
    <w:p w14:paraId="5ED67718" w14:textId="3516DE99" w:rsidR="0026551D" w:rsidRPr="0026551D" w:rsidRDefault="0026551D" w:rsidP="0026551D">
      <w:pPr>
        <w:pStyle w:val="kj0212TextOnly"/>
      </w:pPr>
      <w:r w:rsidRPr="0026551D">
        <w:t xml:space="preserve">In line with GT’s Environmental Policy, we expect the highest standards of behavior for protecting the environment in which we operate. </w:t>
      </w:r>
      <w:r>
        <w:t xml:space="preserve"> </w:t>
      </w:r>
      <w:r w:rsidRPr="0026551D">
        <w:t>We take personal and collective responsibility and expect our suppliers to prevent or minimize any adverse environmental impact supporting sustainable use of resources and strive for no environmental incidents</w:t>
      </w:r>
      <w:r>
        <w:t>.</w:t>
      </w:r>
    </w:p>
    <w:p w14:paraId="18DF24F6" w14:textId="3769C72E" w:rsidR="0026551D" w:rsidRDefault="0026551D" w:rsidP="0026551D">
      <w:pPr>
        <w:pStyle w:val="kj03123"/>
        <w:tabs>
          <w:tab w:val="clear" w:pos="360"/>
          <w:tab w:val="clear" w:pos="1267"/>
          <w:tab w:val="num" w:pos="1260"/>
        </w:tabs>
        <w:rPr>
          <w:b/>
        </w:rPr>
      </w:pPr>
      <w:r w:rsidRPr="00021824">
        <w:t xml:space="preserve">Suppliers are expected to comply with all applicable environmental laws and to manage their affairs in a manner which prevents any adverse impacts on the environment, including those in the community who may be affected by their activities. </w:t>
      </w:r>
      <w:r>
        <w:t xml:space="preserve"> </w:t>
      </w:r>
      <w:r w:rsidRPr="00021824">
        <w:t>Suppliers are encouraged to operate a suitable and sufficient environmental management system, which includes an environmental risk assessment, implements controls to eliminate or reduce those risks, and to create a process that provides information to those who may be impacted by an adverse event.</w:t>
      </w:r>
    </w:p>
    <w:p w14:paraId="4399A657" w14:textId="53F75EB3" w:rsidR="0026551D" w:rsidRDefault="0026551D" w:rsidP="0026551D">
      <w:pPr>
        <w:pStyle w:val="kj03123"/>
        <w:tabs>
          <w:tab w:val="clear" w:pos="360"/>
          <w:tab w:val="clear" w:pos="1267"/>
          <w:tab w:val="num" w:pos="1260"/>
        </w:tabs>
        <w:rPr>
          <w:b/>
        </w:rPr>
      </w:pPr>
      <w:r w:rsidRPr="00C91437">
        <w:t xml:space="preserve">Suppliers are expected to manage waste in ways that prevent pollution, use reputable organizations who work in compliance with relevant laws when managing waste and work in a way that prevents adverse environmental impacts. </w:t>
      </w:r>
      <w:r>
        <w:t xml:space="preserve"> </w:t>
      </w:r>
      <w:r w:rsidRPr="00C91437">
        <w:t xml:space="preserve">To this end, suppliers are also encouraged </w:t>
      </w:r>
      <w:r>
        <w:t>to</w:t>
      </w:r>
      <w:r w:rsidRPr="00C91437">
        <w:t xml:space="preserve"> implement scrap reduction programs that reduce material waste within their operations and that of their sub-tier suppliers.</w:t>
      </w:r>
    </w:p>
    <w:p w14:paraId="79C6F045" w14:textId="53F8CED2" w:rsidR="0026551D" w:rsidRDefault="0026551D" w:rsidP="0026551D">
      <w:pPr>
        <w:pStyle w:val="kj03123"/>
        <w:tabs>
          <w:tab w:val="clear" w:pos="360"/>
          <w:tab w:val="clear" w:pos="1267"/>
          <w:tab w:val="num" w:pos="1260"/>
        </w:tabs>
      </w:pPr>
      <w:r w:rsidRPr="003867BD">
        <w:t>We encourage our suppliers to reduce their emissions where applicable by setting near-term and long-term emissions reductions targets as part of their waste reduction program</w:t>
      </w:r>
      <w:r>
        <w:t>.</w:t>
      </w:r>
    </w:p>
    <w:p w14:paraId="2D729B18" w14:textId="05FC2170" w:rsidR="0026551D" w:rsidRDefault="000F6213" w:rsidP="00235425">
      <w:pPr>
        <w:pStyle w:val="kj0212"/>
        <w:tabs>
          <w:tab w:val="clear" w:pos="360"/>
          <w:tab w:val="clear" w:pos="547"/>
          <w:tab w:val="num" w:pos="540"/>
        </w:tabs>
      </w:pPr>
      <w:bookmarkStart w:id="29" w:name="_Toc161133573"/>
      <w:r>
        <w:t>ITAR (International Traffic in Arms Regulations)</w:t>
      </w:r>
      <w:bookmarkEnd w:id="29"/>
    </w:p>
    <w:p w14:paraId="4E282283" w14:textId="6A8D2074" w:rsidR="0026551D" w:rsidRPr="000F6213" w:rsidRDefault="000F6213" w:rsidP="000F6213">
      <w:pPr>
        <w:pStyle w:val="kj03123"/>
        <w:tabs>
          <w:tab w:val="clear" w:pos="360"/>
          <w:tab w:val="clear" w:pos="1267"/>
          <w:tab w:val="num" w:pos="1260"/>
        </w:tabs>
      </w:pPr>
      <w:r w:rsidRPr="00420EEA">
        <w:rPr>
          <w:rFonts w:cs="Arial"/>
          <w:bCs/>
          <w:szCs w:val="22"/>
        </w:rPr>
        <w:t>United States Department of State export controls to prevent or limit the supply of controlled goods to countries proscribed, principally for reasons of proliferation, security, terrorism, or human rights violations</w:t>
      </w:r>
      <w:r>
        <w:rPr>
          <w:rFonts w:cs="Arial"/>
          <w:bCs/>
          <w:szCs w:val="22"/>
        </w:rPr>
        <w:t>.</w:t>
      </w:r>
    </w:p>
    <w:p w14:paraId="315FD8AB" w14:textId="581B026C" w:rsidR="000F6213" w:rsidRDefault="00A26D14" w:rsidP="000F6213">
      <w:pPr>
        <w:pStyle w:val="kj03123"/>
        <w:tabs>
          <w:tab w:val="clear" w:pos="360"/>
          <w:tab w:val="clear" w:pos="1267"/>
          <w:tab w:val="num" w:pos="1260"/>
        </w:tabs>
      </w:pPr>
      <w:r w:rsidRPr="00865577">
        <mc:AlternateContent>
          <mc:Choice Requires="wps">
            <w:drawing>
              <wp:anchor distT="45720" distB="45720" distL="114300" distR="114300" simplePos="0" relativeHeight="251691008" behindDoc="0" locked="0" layoutInCell="1" allowOverlap="1" wp14:anchorId="531F0D7B" wp14:editId="5CBB919A">
                <wp:simplePos x="0" y="0"/>
                <wp:positionH relativeFrom="column">
                  <wp:posOffset>-387721</wp:posOffset>
                </wp:positionH>
                <wp:positionV relativeFrom="paragraph">
                  <wp:posOffset>494665</wp:posOffset>
                </wp:positionV>
                <wp:extent cx="365760" cy="1404620"/>
                <wp:effectExtent l="0" t="0" r="0" b="8890"/>
                <wp:wrapNone/>
                <wp:docPr id="15701874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404620"/>
                        </a:xfrm>
                        <a:prstGeom prst="rect">
                          <a:avLst/>
                        </a:prstGeom>
                        <a:solidFill>
                          <a:srgbClr val="FFFFFF"/>
                        </a:solidFill>
                        <a:ln w="9525">
                          <a:noFill/>
                          <a:miter lim="800000"/>
                          <a:headEnd/>
                          <a:tailEnd/>
                        </a:ln>
                      </wps:spPr>
                      <wps:txbx>
                        <w:txbxContent>
                          <w:p w14:paraId="6C4C78F5" w14:textId="77777777" w:rsidR="00A26D14" w:rsidRPr="006659B4" w:rsidRDefault="00A26D14" w:rsidP="00A26D14">
                            <w:pPr>
                              <w:tabs>
                                <w:tab w:val="left" w:pos="187"/>
                                <w:tab w:val="left" w:pos="547"/>
                                <w:tab w:val="left" w:pos="1267"/>
                                <w:tab w:val="left" w:pos="2160"/>
                                <w:tab w:val="left" w:pos="3240"/>
                                <w:tab w:val="left" w:pos="4320"/>
                                <w:tab w:val="left" w:pos="5760"/>
                                <w:tab w:val="left" w:pos="7387"/>
                              </w:tabs>
                              <w:jc w:val="right"/>
                              <w:rPr>
                                <w:rFonts w:cs="Arial"/>
                              </w:rPr>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1F0D7B" id="_x0000_s1035" type="#_x0000_t202" style="position:absolute;left:0;text-align:left;margin-left:-30.55pt;margin-top:38.95pt;width:28.8pt;height:110.6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GN0EQIAAP0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" stroked="f">
                <v:textbox style="mso-fit-shape-to-text:t">
                  <w:txbxContent>
                    <w:p w14:paraId="6C4C78F5" w14:textId="77777777" w:rsidR="00A26D14" w:rsidRPr="006659B4" w:rsidRDefault="00A26D14" w:rsidP="00A26D14">
                      <w:pPr>
                        <w:tabs>
                          <w:tab w:val="left" w:pos="187"/>
                          <w:tab w:val="left" w:pos="547"/>
                          <w:tab w:val="left" w:pos="1267"/>
                          <w:tab w:val="left" w:pos="2160"/>
                          <w:tab w:val="left" w:pos="3240"/>
                          <w:tab w:val="left" w:pos="4320"/>
                          <w:tab w:val="left" w:pos="5760"/>
                          <w:tab w:val="left" w:pos="7387"/>
                        </w:tabs>
                        <w:jc w:val="right"/>
                        <w:rPr>
                          <w:rFonts w:cs="Arial"/>
                        </w:rPr>
                      </w:pPr>
                      <w:r>
                        <w:t>|</w:t>
                      </w:r>
                    </w:p>
                  </w:txbxContent>
                </v:textbox>
              </v:shape>
            </w:pict>
          </mc:Fallback>
        </mc:AlternateContent>
      </w:r>
      <w:r w:rsidR="000F6213" w:rsidRPr="00420EEA">
        <w:rPr>
          <w:rFonts w:cs="Arial"/>
          <w:bCs/>
          <w:szCs w:val="22"/>
        </w:rPr>
        <w:t xml:space="preserve">ITAR provides regulations regarding the sale and/or transfer of defense articles. </w:t>
      </w:r>
      <w:r w:rsidR="000F6213">
        <w:rPr>
          <w:rFonts w:cs="Arial"/>
          <w:bCs/>
          <w:szCs w:val="22"/>
        </w:rPr>
        <w:t xml:space="preserve"> </w:t>
      </w:r>
      <w:r w:rsidR="000F6213" w:rsidRPr="00420EEA">
        <w:rPr>
          <w:rFonts w:cs="Arial"/>
          <w:bCs/>
          <w:szCs w:val="22"/>
        </w:rPr>
        <w:t>These regulations control the proliferation of weapons, weapon systems etc., to countries that are deemed not eligible to have such products</w:t>
      </w:r>
      <w:r w:rsidR="000F6213">
        <w:rPr>
          <w:rFonts w:cs="Arial"/>
          <w:bCs/>
          <w:szCs w:val="22"/>
        </w:rPr>
        <w:t>.</w:t>
      </w:r>
    </w:p>
    <w:p w14:paraId="2771EFFC" w14:textId="1E485614" w:rsidR="0026551D" w:rsidRDefault="000F6213" w:rsidP="000F6213">
      <w:pPr>
        <w:pStyle w:val="kj0212"/>
        <w:tabs>
          <w:tab w:val="clear" w:pos="360"/>
          <w:tab w:val="clear" w:pos="547"/>
          <w:tab w:val="num" w:pos="540"/>
        </w:tabs>
      </w:pPr>
      <w:bookmarkStart w:id="30" w:name="_Toc161133574"/>
      <w:r>
        <w:t>PFAS (per- and Poly-Fluorinated Alkyl Substances)</w:t>
      </w:r>
      <w:bookmarkEnd w:id="30"/>
    </w:p>
    <w:p w14:paraId="640276AC" w14:textId="6841F1F5" w:rsidR="0026551D" w:rsidRPr="000F6213" w:rsidRDefault="000F6213" w:rsidP="000F6213">
      <w:pPr>
        <w:pStyle w:val="kj0212TextOnly"/>
      </w:pPr>
      <w:r w:rsidRPr="000F6213">
        <w:t>PFAS are a large group of chemical substances with widely differing properties which has come under scrutiny from governments around the world. 3M announced they will discontinue manufacture and sale of all PFAS materials by 2025. In response, GT will be phasing out PFAS materials from our product portfolio</w:t>
      </w:r>
      <w:r>
        <w:t>.</w:t>
      </w:r>
    </w:p>
    <w:p w14:paraId="195A94DF" w14:textId="2C5466A8" w:rsidR="0026551D" w:rsidRDefault="00687AEE" w:rsidP="00687AEE">
      <w:pPr>
        <w:pStyle w:val="kj03123"/>
        <w:tabs>
          <w:tab w:val="clear" w:pos="360"/>
          <w:tab w:val="clear" w:pos="1267"/>
          <w:tab w:val="num" w:pos="1260"/>
        </w:tabs>
      </w:pPr>
      <w:r>
        <w:t xml:space="preserve">A list of PFAS checmicals can be found at:  </w:t>
      </w:r>
    </w:p>
    <w:p w14:paraId="0A87FB1D" w14:textId="24296BEC" w:rsidR="0026551D" w:rsidRPr="004E752A" w:rsidRDefault="001D5FBA" w:rsidP="00687AEE">
      <w:pPr>
        <w:pStyle w:val="kj03123TextOnly"/>
        <w:rPr>
          <w:b/>
          <w:bCs/>
        </w:rPr>
      </w:pPr>
      <w:hyperlink r:id="rId20" w:history="1">
        <w:r w:rsidR="00687AEE" w:rsidRPr="004E752A">
          <w:rPr>
            <w:rStyle w:val="Hyperlink"/>
            <w:b/>
            <w:bCs/>
            <w:szCs w:val="22"/>
          </w:rPr>
          <w:t>https://www.epa.gov/chemical-research/pfas-chemical-lists-and-tiered-testing-methods-descriptions</w:t>
        </w:r>
      </w:hyperlink>
    </w:p>
    <w:p w14:paraId="68C5D4FB" w14:textId="77777777" w:rsidR="0026551D" w:rsidRDefault="0026551D" w:rsidP="00186118">
      <w:pPr>
        <w:pStyle w:val="kj0010TextOnly"/>
      </w:pPr>
    </w:p>
    <w:p w14:paraId="7A8B72E2" w14:textId="77777777" w:rsidR="00CC32D0" w:rsidRDefault="001D5FBA" w:rsidP="00CC32D0">
      <w:hyperlink w:anchor="TableOfContents" w:history="1">
        <w:r w:rsidR="00CC32D0" w:rsidRPr="00066290">
          <w:rPr>
            <w:rStyle w:val="Hyperlink"/>
            <w:rFonts w:cs="Arial"/>
            <w:sz w:val="16"/>
            <w:szCs w:val="14"/>
          </w:rPr>
          <w:t>Return to Table of Contents</w:t>
        </w:r>
      </w:hyperlink>
      <w:r w:rsidR="00CC32D0">
        <w:br w:type="page"/>
      </w:r>
    </w:p>
    <w:p w14:paraId="79514AEA" w14:textId="07167CB2" w:rsidR="0026551D" w:rsidRDefault="00687AEE" w:rsidP="00687AEE">
      <w:pPr>
        <w:pStyle w:val="kj03123"/>
      </w:pPr>
      <w:r w:rsidRPr="00687AEE">
        <w:t>Suppliers that provide products that contain PFAS materials should notify GT of those products immediately and provide plans to remove them from GT products by 2025</w:t>
      </w:r>
      <w:r>
        <w:t>.</w:t>
      </w:r>
    </w:p>
    <w:p w14:paraId="7CA45BE7" w14:textId="7B5277E4" w:rsidR="00687AEE" w:rsidRPr="00687AEE" w:rsidRDefault="00687AEE" w:rsidP="00687AEE">
      <w:pPr>
        <w:pStyle w:val="kj03123"/>
        <w:tabs>
          <w:tab w:val="clear" w:pos="360"/>
          <w:tab w:val="clear" w:pos="1267"/>
          <w:tab w:val="num" w:pos="1260"/>
        </w:tabs>
      </w:pPr>
      <w:r>
        <w:t>Use the below website for more information on PFAS substances:</w:t>
      </w:r>
    </w:p>
    <w:p w14:paraId="57CD6B61" w14:textId="77777777" w:rsidR="00687AEE" w:rsidRPr="004E752A" w:rsidRDefault="001D5FBA" w:rsidP="004E752A">
      <w:pPr>
        <w:pStyle w:val="kj0212TextOnly"/>
        <w:numPr>
          <w:ilvl w:val="0"/>
          <w:numId w:val="18"/>
        </w:numPr>
        <w:rPr>
          <w:rStyle w:val="Hyperlink"/>
          <w:b/>
          <w:bCs/>
        </w:rPr>
      </w:pPr>
      <w:hyperlink r:id="rId21" w:history="1">
        <w:r w:rsidR="00687AEE" w:rsidRPr="004E752A">
          <w:rPr>
            <w:rStyle w:val="Hyperlink"/>
            <w:b/>
            <w:bCs/>
            <w:szCs w:val="22"/>
          </w:rPr>
          <w:t>https://www.epa.gov/pfas</w:t>
        </w:r>
      </w:hyperlink>
    </w:p>
    <w:p w14:paraId="2EF4DF79" w14:textId="77777777" w:rsidR="00687AEE" w:rsidRPr="004E752A" w:rsidRDefault="001D5FBA" w:rsidP="004E752A">
      <w:pPr>
        <w:pStyle w:val="kj0212TextOnly"/>
        <w:numPr>
          <w:ilvl w:val="0"/>
          <w:numId w:val="18"/>
        </w:numPr>
        <w:rPr>
          <w:rStyle w:val="Hyperlink"/>
          <w:b/>
          <w:bCs/>
        </w:rPr>
      </w:pPr>
      <w:hyperlink r:id="rId22" w:history="1">
        <w:r w:rsidR="00687AEE" w:rsidRPr="004E752A">
          <w:rPr>
            <w:rStyle w:val="Hyperlink"/>
            <w:b/>
            <w:bCs/>
            <w:szCs w:val="22"/>
          </w:rPr>
          <w:t>https://environment.ec.europa.eu/strategy/chemicals-strategy/implementation_en</w:t>
        </w:r>
      </w:hyperlink>
    </w:p>
    <w:p w14:paraId="659D1F7A" w14:textId="77777777" w:rsidR="00687AEE" w:rsidRDefault="00687AEE" w:rsidP="00687AEE">
      <w:pPr>
        <w:pStyle w:val="kj03123TextOnly"/>
      </w:pPr>
    </w:p>
    <w:p w14:paraId="26B11F3E" w14:textId="0EBCA7EC" w:rsidR="0026551D" w:rsidRDefault="00BE5F22" w:rsidP="00BE5F22">
      <w:pPr>
        <w:pStyle w:val="kj0212"/>
        <w:tabs>
          <w:tab w:val="clear" w:pos="360"/>
          <w:tab w:val="clear" w:pos="547"/>
          <w:tab w:val="num" w:pos="540"/>
        </w:tabs>
      </w:pPr>
      <w:bookmarkStart w:id="31" w:name="_Toc161133575"/>
      <w:r>
        <w:t>REACH (Registration, Evaluation, Authorization and Restriction of Chemicals)</w:t>
      </w:r>
      <w:bookmarkEnd w:id="31"/>
    </w:p>
    <w:p w14:paraId="7FF3DDA7" w14:textId="5398FAF9" w:rsidR="0026551D" w:rsidRPr="00BE5F22" w:rsidRDefault="00BE5F22" w:rsidP="00BE5F22">
      <w:pPr>
        <w:pStyle w:val="kj03123"/>
        <w:tabs>
          <w:tab w:val="clear" w:pos="360"/>
          <w:tab w:val="clear" w:pos="1267"/>
          <w:tab w:val="num" w:pos="1260"/>
        </w:tabs>
      </w:pPr>
      <w:r w:rsidRPr="00420EEA">
        <w:rPr>
          <w:rFonts w:cs="Arial"/>
          <w:bCs/>
          <w:szCs w:val="22"/>
        </w:rPr>
        <w:t xml:space="preserve">REACH is a regulation of the European Union (EU), adopted to improve the protection of human health and the environment from the risks that can be posed by chemicals, while enhancing the competitiveness of the EU chemicals industry. </w:t>
      </w:r>
      <w:r>
        <w:rPr>
          <w:rFonts w:cs="Arial"/>
          <w:bCs/>
          <w:szCs w:val="22"/>
        </w:rPr>
        <w:t xml:space="preserve"> </w:t>
      </w:r>
      <w:r w:rsidRPr="00420EEA">
        <w:rPr>
          <w:rFonts w:cs="Arial"/>
          <w:bCs/>
          <w:szCs w:val="22"/>
        </w:rPr>
        <w:t>In principle, REACH applies to all chemical substances; not only those used in industrial processes but also in our day-to-day lives, for example in cleaning products and paints as well as in articles such as clothes, furniture and electrical appliances.</w:t>
      </w:r>
      <w:r>
        <w:rPr>
          <w:rFonts w:cs="Arial"/>
          <w:bCs/>
          <w:szCs w:val="22"/>
        </w:rPr>
        <w:t xml:space="preserve"> </w:t>
      </w:r>
      <w:r w:rsidRPr="00420EEA">
        <w:rPr>
          <w:rFonts w:cs="Arial"/>
          <w:bCs/>
          <w:szCs w:val="22"/>
        </w:rPr>
        <w:t xml:space="preserve"> Therefore, the regulation has an impact on most companies across the EU</w:t>
      </w:r>
      <w:r>
        <w:rPr>
          <w:rFonts w:cs="Arial"/>
          <w:bCs/>
          <w:szCs w:val="22"/>
        </w:rPr>
        <w:t>.</w:t>
      </w:r>
    </w:p>
    <w:p w14:paraId="0A74E7AE" w14:textId="63B4A22D" w:rsidR="00BE5F22" w:rsidRDefault="00BE5F22" w:rsidP="00BE5F22">
      <w:pPr>
        <w:pStyle w:val="kj03123"/>
        <w:tabs>
          <w:tab w:val="clear" w:pos="360"/>
          <w:tab w:val="clear" w:pos="1267"/>
          <w:tab w:val="num" w:pos="1260"/>
        </w:tabs>
      </w:pPr>
      <w:r w:rsidRPr="00420EEA">
        <w:rPr>
          <w:rFonts w:cs="Arial"/>
          <w:bCs/>
          <w:szCs w:val="22"/>
        </w:rPr>
        <w:t xml:space="preserve">REACH places the burden of proof on companies. </w:t>
      </w:r>
      <w:r>
        <w:rPr>
          <w:rFonts w:cs="Arial"/>
          <w:bCs/>
          <w:szCs w:val="22"/>
        </w:rPr>
        <w:t xml:space="preserve"> </w:t>
      </w:r>
      <w:r w:rsidRPr="00420EEA">
        <w:rPr>
          <w:rFonts w:cs="Arial"/>
          <w:bCs/>
          <w:szCs w:val="22"/>
        </w:rPr>
        <w:t xml:space="preserve">To comply with the regulation, companies must identify and manage the risks linked to the substances they manufacture and market in the EU. </w:t>
      </w:r>
      <w:r>
        <w:rPr>
          <w:rFonts w:cs="Arial"/>
          <w:bCs/>
          <w:szCs w:val="22"/>
        </w:rPr>
        <w:t xml:space="preserve"> </w:t>
      </w:r>
      <w:r w:rsidRPr="00420EEA">
        <w:rPr>
          <w:rFonts w:cs="Arial"/>
          <w:bCs/>
          <w:szCs w:val="22"/>
        </w:rPr>
        <w:t>They have to demonstrate to the European Chemicals Agency (ECHA) how the substance can be safely used, and they must communicate the risk management measures to the users.</w:t>
      </w:r>
      <w:r>
        <w:rPr>
          <w:rFonts w:cs="Arial"/>
          <w:bCs/>
          <w:szCs w:val="22"/>
        </w:rPr>
        <w:t xml:space="preserve"> </w:t>
      </w:r>
      <w:r w:rsidRPr="00420EEA">
        <w:rPr>
          <w:rFonts w:cs="Arial"/>
          <w:bCs/>
          <w:szCs w:val="22"/>
        </w:rPr>
        <w:t xml:space="preserve"> If the risks cannot be managed, authorities can restrict the use of substances in different ways. In the long run, the most hazardous substances should be substituted with less dangerous ones</w:t>
      </w:r>
      <w:r>
        <w:rPr>
          <w:rFonts w:cs="Arial"/>
          <w:bCs/>
          <w:szCs w:val="22"/>
        </w:rPr>
        <w:t>.</w:t>
      </w:r>
    </w:p>
    <w:p w14:paraId="021C1D66" w14:textId="27639966" w:rsidR="0026551D" w:rsidRDefault="00E447B6" w:rsidP="00E447B6">
      <w:pPr>
        <w:pStyle w:val="kj0212"/>
        <w:tabs>
          <w:tab w:val="clear" w:pos="360"/>
          <w:tab w:val="clear" w:pos="547"/>
          <w:tab w:val="num" w:pos="540"/>
        </w:tabs>
      </w:pPr>
      <w:bookmarkStart w:id="32" w:name="_Toc161133576"/>
      <w:r>
        <w:t>R</w:t>
      </w:r>
      <w:r w:rsidR="00CC32D0">
        <w:t>o</w:t>
      </w:r>
      <w:r>
        <w:t>HS (Restriction of Hazardous Substances)</w:t>
      </w:r>
      <w:bookmarkEnd w:id="32"/>
    </w:p>
    <w:p w14:paraId="27B3E9A5" w14:textId="4A910386" w:rsidR="0026551D" w:rsidRPr="00E447B6" w:rsidRDefault="00E447B6" w:rsidP="00E447B6">
      <w:pPr>
        <w:pStyle w:val="kj03123"/>
        <w:tabs>
          <w:tab w:val="clear" w:pos="360"/>
          <w:tab w:val="clear" w:pos="1267"/>
          <w:tab w:val="num" w:pos="1260"/>
        </w:tabs>
      </w:pPr>
      <w:r w:rsidRPr="00420EEA">
        <w:rPr>
          <w:rFonts w:cs="Arial"/>
          <w:bCs/>
          <w:szCs w:val="22"/>
        </w:rPr>
        <w:t xml:space="preserve">It is a directive adopted by the member countries of the European Union to control the use of six hazardous substances in the manufacturing of electric and electronic equipment. </w:t>
      </w:r>
      <w:r>
        <w:rPr>
          <w:rFonts w:cs="Arial"/>
          <w:bCs/>
          <w:szCs w:val="22"/>
        </w:rPr>
        <w:t xml:space="preserve"> </w:t>
      </w:r>
      <w:r w:rsidRPr="00420EEA">
        <w:rPr>
          <w:rFonts w:cs="Arial"/>
          <w:bCs/>
          <w:szCs w:val="22"/>
        </w:rPr>
        <w:t xml:space="preserve">The six regulated substances are cadmium, hexavalent chromium, lead, mercury, polybrominated biphenyl’s (PBB), and polybrominated diphenyl ethers (PBDE). </w:t>
      </w:r>
      <w:r>
        <w:rPr>
          <w:rFonts w:cs="Arial"/>
          <w:bCs/>
          <w:szCs w:val="22"/>
        </w:rPr>
        <w:t xml:space="preserve"> </w:t>
      </w:r>
      <w:r w:rsidRPr="00420EEA">
        <w:rPr>
          <w:rFonts w:cs="Arial"/>
          <w:bCs/>
          <w:szCs w:val="22"/>
        </w:rPr>
        <w:t>RoHS is closely linked with the Waste Electrical and Electronic Equipment Directive, commonly referred to as "WEEE</w:t>
      </w:r>
      <w:r>
        <w:rPr>
          <w:rFonts w:cs="Arial"/>
          <w:bCs/>
          <w:szCs w:val="22"/>
        </w:rPr>
        <w:t>”.</w:t>
      </w:r>
    </w:p>
    <w:p w14:paraId="312D149C" w14:textId="32C22BDA" w:rsidR="00E447B6" w:rsidRDefault="00864B79" w:rsidP="00E447B6">
      <w:pPr>
        <w:pStyle w:val="kj03123"/>
        <w:tabs>
          <w:tab w:val="clear" w:pos="360"/>
          <w:tab w:val="clear" w:pos="1267"/>
          <w:tab w:val="num" w:pos="1260"/>
        </w:tabs>
      </w:pPr>
      <w:r w:rsidRPr="00865577">
        <mc:AlternateContent>
          <mc:Choice Requires="wps">
            <w:drawing>
              <wp:anchor distT="45720" distB="45720" distL="114300" distR="114300" simplePos="0" relativeHeight="251693056" behindDoc="0" locked="0" layoutInCell="1" allowOverlap="1" wp14:anchorId="2EEB81D8" wp14:editId="1C160923">
                <wp:simplePos x="0" y="0"/>
                <wp:positionH relativeFrom="column">
                  <wp:posOffset>-396875</wp:posOffset>
                </wp:positionH>
                <wp:positionV relativeFrom="paragraph">
                  <wp:posOffset>333746</wp:posOffset>
                </wp:positionV>
                <wp:extent cx="365760" cy="1404620"/>
                <wp:effectExtent l="0" t="0" r="0" b="8890"/>
                <wp:wrapNone/>
                <wp:docPr id="549405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404620"/>
                        </a:xfrm>
                        <a:prstGeom prst="rect">
                          <a:avLst/>
                        </a:prstGeom>
                        <a:solidFill>
                          <a:srgbClr val="FFFFFF"/>
                        </a:solidFill>
                        <a:ln w="9525">
                          <a:noFill/>
                          <a:miter lim="800000"/>
                          <a:headEnd/>
                          <a:tailEnd/>
                        </a:ln>
                      </wps:spPr>
                      <wps:txbx>
                        <w:txbxContent>
                          <w:p w14:paraId="03028B23" w14:textId="77777777" w:rsidR="00864B79" w:rsidRPr="006659B4" w:rsidRDefault="00864B79" w:rsidP="00864B79">
                            <w:pPr>
                              <w:tabs>
                                <w:tab w:val="left" w:pos="187"/>
                                <w:tab w:val="left" w:pos="547"/>
                                <w:tab w:val="left" w:pos="1267"/>
                                <w:tab w:val="left" w:pos="2160"/>
                                <w:tab w:val="left" w:pos="3240"/>
                                <w:tab w:val="left" w:pos="4320"/>
                                <w:tab w:val="left" w:pos="5760"/>
                                <w:tab w:val="left" w:pos="7387"/>
                              </w:tabs>
                              <w:jc w:val="right"/>
                              <w:rPr>
                                <w:rFonts w:cs="Arial"/>
                              </w:rPr>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EB81D8" id="_x0000_s1036" type="#_x0000_t202" style="position:absolute;left:0;text-align:left;margin-left:-31.25pt;margin-top:26.3pt;width:28.8pt;height:110.6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FNbEgIAAP4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" stroked="f">
                <v:textbox style="mso-fit-shape-to-text:t">
                  <w:txbxContent>
                    <w:p w14:paraId="03028B23" w14:textId="77777777" w:rsidR="00864B79" w:rsidRPr="006659B4" w:rsidRDefault="00864B79" w:rsidP="00864B79">
                      <w:pPr>
                        <w:tabs>
                          <w:tab w:val="left" w:pos="187"/>
                          <w:tab w:val="left" w:pos="547"/>
                          <w:tab w:val="left" w:pos="1267"/>
                          <w:tab w:val="left" w:pos="2160"/>
                          <w:tab w:val="left" w:pos="3240"/>
                          <w:tab w:val="left" w:pos="4320"/>
                          <w:tab w:val="left" w:pos="5760"/>
                          <w:tab w:val="left" w:pos="7387"/>
                        </w:tabs>
                        <w:jc w:val="right"/>
                        <w:rPr>
                          <w:rFonts w:cs="Arial"/>
                        </w:rPr>
                      </w:pPr>
                      <w:r>
                        <w:t>|</w:t>
                      </w:r>
                    </w:p>
                  </w:txbxContent>
                </v:textbox>
              </v:shape>
            </w:pict>
          </mc:Fallback>
        </mc:AlternateContent>
      </w:r>
      <w:r w:rsidR="00E447B6" w:rsidRPr="00420EEA">
        <w:rPr>
          <w:rFonts w:cs="Arial"/>
          <w:bCs/>
          <w:szCs w:val="22"/>
        </w:rPr>
        <w:t>RoHS and WEEE apply to items placed in commerce in Europe and other countries which have adopted similar legislation</w:t>
      </w:r>
      <w:r w:rsidR="00E447B6">
        <w:rPr>
          <w:rFonts w:cs="Arial"/>
          <w:bCs/>
          <w:szCs w:val="22"/>
        </w:rPr>
        <w:t>.</w:t>
      </w:r>
    </w:p>
    <w:p w14:paraId="5D5ABADC" w14:textId="2FBAF7D3" w:rsidR="0026551D" w:rsidRDefault="00864B79" w:rsidP="00864B79">
      <w:pPr>
        <w:pStyle w:val="kj0212"/>
        <w:tabs>
          <w:tab w:val="clear" w:pos="360"/>
          <w:tab w:val="clear" w:pos="547"/>
          <w:tab w:val="num" w:pos="540"/>
        </w:tabs>
      </w:pPr>
      <w:bookmarkStart w:id="33" w:name="_Toc161133577"/>
      <w:r>
        <w:t>Steel or Iron Products from Russia</w:t>
      </w:r>
      <w:bookmarkEnd w:id="33"/>
    </w:p>
    <w:p w14:paraId="562F1854" w14:textId="34F91328" w:rsidR="0026551D" w:rsidRPr="00864B79" w:rsidRDefault="00864B79" w:rsidP="00864B79">
      <w:pPr>
        <w:pStyle w:val="kj0212TextOnly"/>
      </w:pPr>
      <w:r w:rsidRPr="00864B79">
        <w:t>This section references the COUNCIL REGULATION (EU) 2022/2474 of 16 December 2022 amending Regulation (EU) No 833/2014 concerning restrictive measures in view of Russia’s actions destabilizing the situation in Ukraine.</w:t>
      </w:r>
    </w:p>
    <w:p w14:paraId="2318C6ED" w14:textId="7C9FE57B" w:rsidR="00E447B6" w:rsidRDefault="00864B79" w:rsidP="00864B79">
      <w:pPr>
        <w:pStyle w:val="kj03123"/>
        <w:tabs>
          <w:tab w:val="clear" w:pos="360"/>
          <w:tab w:val="clear" w:pos="1267"/>
          <w:tab w:val="num" w:pos="1260"/>
        </w:tabs>
      </w:pPr>
      <w:r w:rsidRPr="00864B79">
        <w:t xml:space="preserve">Effective 30th September 2023, the UK and EU have imposed import restrictions on some raw materials from Russia. </w:t>
      </w:r>
      <w:r w:rsidR="00F12179">
        <w:t xml:space="preserve"> </w:t>
      </w:r>
      <w:r w:rsidRPr="00864B79">
        <w:t xml:space="preserve">The restrictions affect metal goods of Russia origin, product containing raw material from Russia, or any product shipped from Russia regardless of origin. </w:t>
      </w:r>
      <w:r w:rsidR="00F12179">
        <w:t xml:space="preserve"> </w:t>
      </w:r>
      <w:r w:rsidRPr="00864B79">
        <w:t>The tariff codes affected can be referenced in the below links.</w:t>
      </w:r>
    </w:p>
    <w:p w14:paraId="623BD33B" w14:textId="121606FE" w:rsidR="00864B79" w:rsidRPr="00864B79" w:rsidRDefault="00864B79" w:rsidP="00F12179">
      <w:pPr>
        <w:pStyle w:val="kj03123"/>
        <w:tabs>
          <w:tab w:val="clear" w:pos="360"/>
          <w:tab w:val="clear" w:pos="1267"/>
          <w:tab w:val="num" w:pos="1260"/>
        </w:tabs>
      </w:pPr>
      <w:r w:rsidRPr="00864B79">
        <w:t xml:space="preserve">Suppliers </w:t>
      </w:r>
      <w:r w:rsidR="00CC32D0">
        <w:t>are</w:t>
      </w:r>
      <w:r w:rsidRPr="00864B79">
        <w:t xml:space="preserve"> expected to abide by these restrictions and provide certification to GT as to their conformance to this policy by showing proof of country of origin. </w:t>
      </w:r>
      <w:r w:rsidR="00F12179">
        <w:t xml:space="preserve"> </w:t>
      </w:r>
      <w:r w:rsidRPr="00864B79">
        <w:t>Certification should be in the form of an MTC (or MTR) or multiple MTC’s where applicable.</w:t>
      </w:r>
    </w:p>
    <w:p w14:paraId="54E5A9A5" w14:textId="77777777" w:rsidR="00864B79" w:rsidRDefault="001D5FBA" w:rsidP="00864B79">
      <w:hyperlink w:anchor="TableOfContents" w:history="1">
        <w:r w:rsidR="00864B79" w:rsidRPr="00066290">
          <w:rPr>
            <w:rStyle w:val="Hyperlink"/>
            <w:rFonts w:cs="Arial"/>
            <w:sz w:val="16"/>
            <w:szCs w:val="14"/>
          </w:rPr>
          <w:t>Return to Table of Contents</w:t>
        </w:r>
      </w:hyperlink>
      <w:r w:rsidR="00864B79">
        <w:br w:type="page"/>
      </w:r>
    </w:p>
    <w:p w14:paraId="1A25E3A3" w14:textId="77777777" w:rsidR="00C47D90" w:rsidRPr="00E4746F" w:rsidRDefault="00C47D90" w:rsidP="00C47D90">
      <w:pPr>
        <w:pStyle w:val="kj03123"/>
        <w:rPr>
          <w:b/>
        </w:rPr>
      </w:pPr>
      <w:r w:rsidRPr="00E4746F">
        <w:t>Suppliers are expected to notify GT</w:t>
      </w:r>
      <w:r>
        <w:t xml:space="preserve"> immediately if they determine</w:t>
      </w:r>
      <w:r w:rsidRPr="00E4746F">
        <w:t xml:space="preserve"> materials provided to not conform to Restrictions on Russian imports</w:t>
      </w:r>
      <w:r>
        <w:t xml:space="preserve"> detailed previously </w:t>
      </w:r>
      <w:r w:rsidRPr="00E4746F">
        <w:t>and perform adequate containment of nonconforming material.</w:t>
      </w:r>
    </w:p>
    <w:p w14:paraId="1085A634" w14:textId="59BCB611" w:rsidR="00E447B6" w:rsidRDefault="00C47D90" w:rsidP="00C47D90">
      <w:pPr>
        <w:pStyle w:val="kj03123"/>
      </w:pPr>
      <w:r w:rsidRPr="004A7797">
        <w:t xml:space="preserve">Any questions should be addressed to GT’s Supply Chain (Procurement) leadership for clarification. </w:t>
      </w:r>
      <w:r>
        <w:t>I</w:t>
      </w:r>
      <w:r w:rsidRPr="004A7797">
        <w:t xml:space="preserve">nformation </w:t>
      </w:r>
      <w:r>
        <w:t xml:space="preserve">on the restrictions </w:t>
      </w:r>
      <w:r w:rsidRPr="004A7797">
        <w:t>can be found at</w:t>
      </w:r>
      <w:r>
        <w:t>:</w:t>
      </w:r>
    </w:p>
    <w:p w14:paraId="0C012463" w14:textId="77777777" w:rsidR="00C47D90" w:rsidRPr="004E752A" w:rsidRDefault="001D5FBA" w:rsidP="004E752A">
      <w:pPr>
        <w:pStyle w:val="kj0212TextOnly"/>
        <w:numPr>
          <w:ilvl w:val="0"/>
          <w:numId w:val="19"/>
        </w:numPr>
        <w:rPr>
          <w:rStyle w:val="Hyperlink"/>
          <w:b/>
          <w:bCs/>
          <w:szCs w:val="22"/>
        </w:rPr>
      </w:pPr>
      <w:hyperlink r:id="rId23" w:history="1">
        <w:r w:rsidR="00C47D90" w:rsidRPr="004E752A">
          <w:rPr>
            <w:rStyle w:val="Hyperlink"/>
            <w:b/>
            <w:bCs/>
            <w:szCs w:val="22"/>
          </w:rPr>
          <w:t>https://www.gov.uk/government/publications/notice-to-importers-2953-russia-import-sanctions/guidance-on-third-country-processed-iron-and-steel-measures</w:t>
        </w:r>
      </w:hyperlink>
    </w:p>
    <w:p w14:paraId="22DDB066" w14:textId="77777777" w:rsidR="00C47D90" w:rsidRPr="004E752A" w:rsidRDefault="001D5FBA" w:rsidP="004E752A">
      <w:pPr>
        <w:pStyle w:val="kj0212TextOnly"/>
        <w:numPr>
          <w:ilvl w:val="0"/>
          <w:numId w:val="19"/>
        </w:numPr>
        <w:rPr>
          <w:rStyle w:val="Hyperlink"/>
          <w:b/>
          <w:bCs/>
          <w:szCs w:val="22"/>
        </w:rPr>
      </w:pPr>
      <w:hyperlink r:id="rId24" w:history="1">
        <w:r w:rsidR="00C47D90" w:rsidRPr="004E752A">
          <w:rPr>
            <w:rStyle w:val="Hyperlink"/>
            <w:b/>
            <w:bCs/>
            <w:szCs w:val="22"/>
          </w:rPr>
          <w:t>https://eur-lex.europa.eu/legal-content/EN/TXT/?uri=CELEX%3A32014R0833</w:t>
        </w:r>
      </w:hyperlink>
    </w:p>
    <w:p w14:paraId="2DC50901" w14:textId="77777777" w:rsidR="00C47D90" w:rsidRPr="004E752A" w:rsidRDefault="001D5FBA" w:rsidP="004E752A">
      <w:pPr>
        <w:pStyle w:val="kj0212TextOnly"/>
        <w:numPr>
          <w:ilvl w:val="0"/>
          <w:numId w:val="19"/>
        </w:numPr>
        <w:rPr>
          <w:rStyle w:val="Hyperlink"/>
          <w:b/>
          <w:bCs/>
          <w:szCs w:val="22"/>
        </w:rPr>
      </w:pPr>
      <w:hyperlink r:id="rId25" w:history="1">
        <w:r w:rsidR="00C47D90" w:rsidRPr="004E752A">
          <w:rPr>
            <w:rStyle w:val="Hyperlink"/>
            <w:b/>
            <w:bCs/>
            <w:szCs w:val="22"/>
          </w:rPr>
          <w:t>https://www.gov.uk/guidance/classifying-iron-and-steel</w:t>
        </w:r>
      </w:hyperlink>
    </w:p>
    <w:p w14:paraId="7AF73DEE" w14:textId="77777777" w:rsidR="00C47D90" w:rsidRPr="004E752A" w:rsidRDefault="00C47D90" w:rsidP="004E752A">
      <w:pPr>
        <w:pStyle w:val="kj0212TextOnly"/>
        <w:numPr>
          <w:ilvl w:val="0"/>
          <w:numId w:val="19"/>
        </w:numPr>
        <w:rPr>
          <w:rStyle w:val="Hyperlink"/>
          <w:b/>
          <w:bCs/>
          <w:szCs w:val="22"/>
        </w:rPr>
      </w:pPr>
      <w:r w:rsidRPr="004E752A">
        <w:rPr>
          <w:rStyle w:val="Hyperlink"/>
          <w:b/>
          <w:bCs/>
          <w:szCs w:val="22"/>
        </w:rPr>
        <w:t>https://www.gov.uk/government/publications/financial-sanctions-ukraine-sovereignty-and-territorial-integrity</w:t>
      </w:r>
    </w:p>
    <w:p w14:paraId="4407B692" w14:textId="77777777" w:rsidR="00C47D90" w:rsidRDefault="00C47D90" w:rsidP="00C47D90">
      <w:pPr>
        <w:pStyle w:val="kj03123TextOnly"/>
      </w:pPr>
    </w:p>
    <w:p w14:paraId="00E2E34C" w14:textId="4A3ED5A8" w:rsidR="00C47D90" w:rsidRDefault="00C47D90" w:rsidP="00C47D90">
      <w:pPr>
        <w:pStyle w:val="kj0212"/>
        <w:tabs>
          <w:tab w:val="clear" w:pos="360"/>
          <w:tab w:val="clear" w:pos="547"/>
          <w:tab w:val="num" w:pos="540"/>
        </w:tabs>
      </w:pPr>
      <w:bookmarkStart w:id="34" w:name="_Toc161133578"/>
      <w:r>
        <w:t>TSCA (Toxic Substances Control Act)</w:t>
      </w:r>
      <w:bookmarkEnd w:id="34"/>
    </w:p>
    <w:p w14:paraId="1AE483BA" w14:textId="26998D2B" w:rsidR="00E447B6" w:rsidRPr="008D0A96" w:rsidRDefault="008D0A96" w:rsidP="008D0A96">
      <w:pPr>
        <w:pStyle w:val="kj03123"/>
        <w:tabs>
          <w:tab w:val="clear" w:pos="360"/>
          <w:tab w:val="clear" w:pos="1267"/>
          <w:tab w:val="num" w:pos="1260"/>
        </w:tabs>
      </w:pPr>
      <w:r w:rsidRPr="00420EEA">
        <w:rPr>
          <w:rFonts w:cs="Arial"/>
          <w:bCs/>
          <w:szCs w:val="22"/>
        </w:rPr>
        <w:t xml:space="preserve">TSCA was enacted in 1976 by the United States Congress and placed under the management of the Environmental Protection Agency (EPA). </w:t>
      </w:r>
      <w:r>
        <w:rPr>
          <w:rFonts w:cs="Arial"/>
          <w:bCs/>
          <w:szCs w:val="22"/>
        </w:rPr>
        <w:t xml:space="preserve"> </w:t>
      </w:r>
      <w:r w:rsidRPr="00420EEA">
        <w:rPr>
          <w:rFonts w:cs="Arial"/>
          <w:bCs/>
          <w:szCs w:val="22"/>
        </w:rPr>
        <w:t>The Act provides the EPA with broad authority to require reporting, record-keeping and testing requirements, and restrictions relating to chemical substances and/or mixtures as they may pose potential threats to the occupational workforce, the public, and the environment.  Since 1976, all new chemical substances (i.e., substances placed into commerce since 1976) have required registration with the EPA prior to manufacture or importation</w:t>
      </w:r>
      <w:r>
        <w:rPr>
          <w:rFonts w:cs="Arial"/>
          <w:bCs/>
          <w:szCs w:val="22"/>
        </w:rPr>
        <w:t>.</w:t>
      </w:r>
    </w:p>
    <w:p w14:paraId="286AC867" w14:textId="761BC419" w:rsidR="008D0A96" w:rsidRPr="008D0A96" w:rsidRDefault="008D0A96" w:rsidP="008D0A96">
      <w:pPr>
        <w:pStyle w:val="kj03123"/>
        <w:tabs>
          <w:tab w:val="clear" w:pos="360"/>
          <w:tab w:val="clear" w:pos="1267"/>
          <w:tab w:val="num" w:pos="1260"/>
        </w:tabs>
      </w:pPr>
      <w:r w:rsidRPr="00420EEA">
        <w:rPr>
          <w:rFonts w:cs="Arial"/>
          <w:bCs/>
          <w:szCs w:val="22"/>
        </w:rPr>
        <w:t xml:space="preserve">Currently there are roughly 83,000 compounds in the TSCA inventory. </w:t>
      </w:r>
      <w:r>
        <w:rPr>
          <w:rFonts w:cs="Arial"/>
          <w:bCs/>
          <w:szCs w:val="22"/>
        </w:rPr>
        <w:t xml:space="preserve"> </w:t>
      </w:r>
      <w:r w:rsidRPr="00420EEA">
        <w:rPr>
          <w:rFonts w:cs="Arial"/>
          <w:bCs/>
          <w:szCs w:val="22"/>
        </w:rPr>
        <w:t>The United States EPA has authority to ban the manufacture or distribution in commerce, limit the use, require labeling, or place other restrictions on chemicals that pose unreasonable risks.</w:t>
      </w:r>
      <w:r>
        <w:rPr>
          <w:rFonts w:cs="Arial"/>
          <w:bCs/>
          <w:szCs w:val="22"/>
        </w:rPr>
        <w:t xml:space="preserve"> </w:t>
      </w:r>
      <w:r w:rsidRPr="00420EEA">
        <w:rPr>
          <w:rFonts w:cs="Arial"/>
          <w:bCs/>
          <w:szCs w:val="22"/>
        </w:rPr>
        <w:t xml:space="preserve"> Among the well-known chemicals the EPA restricts under TSCA are asbestos, chlorofluorocarbons (CFCs), and polychlorinated biphenyls (PCBs), and many other chemicals</w:t>
      </w:r>
      <w:r>
        <w:rPr>
          <w:rFonts w:cs="Arial"/>
          <w:bCs/>
          <w:szCs w:val="22"/>
        </w:rPr>
        <w:t>.</w:t>
      </w:r>
    </w:p>
    <w:p w14:paraId="630554E7" w14:textId="5F2A6734" w:rsidR="008D0A96" w:rsidRDefault="008D0A96" w:rsidP="008D0A96">
      <w:pPr>
        <w:pStyle w:val="kj03123"/>
        <w:tabs>
          <w:tab w:val="clear" w:pos="360"/>
          <w:tab w:val="clear" w:pos="1267"/>
          <w:tab w:val="num" w:pos="1260"/>
        </w:tabs>
      </w:pPr>
      <w:r w:rsidRPr="00420EEA">
        <w:rPr>
          <w:rFonts w:cs="Arial"/>
          <w:bCs/>
          <w:szCs w:val="22"/>
        </w:rPr>
        <w:t xml:space="preserve">Although the Act is very complex, the following areas are normally of the most concern and can have the greatest impact on </w:t>
      </w:r>
      <w:r>
        <w:rPr>
          <w:rFonts w:cs="Arial"/>
          <w:bCs/>
          <w:szCs w:val="22"/>
        </w:rPr>
        <w:t>GT’</w:t>
      </w:r>
      <w:r w:rsidRPr="00420EEA">
        <w:rPr>
          <w:rFonts w:cs="Arial"/>
          <w:bCs/>
          <w:szCs w:val="22"/>
        </w:rPr>
        <w:t>s operations, and business</w:t>
      </w:r>
      <w:r>
        <w:rPr>
          <w:rFonts w:cs="Arial"/>
          <w:bCs/>
          <w:szCs w:val="22"/>
        </w:rPr>
        <w:t>:</w:t>
      </w:r>
    </w:p>
    <w:p w14:paraId="7FFADEBF" w14:textId="609ACDA5" w:rsidR="00C47D90" w:rsidRDefault="008D0A96" w:rsidP="008D0A96">
      <w:pPr>
        <w:pStyle w:val="kj041234"/>
        <w:ind w:hanging="1080"/>
      </w:pPr>
      <w:r>
        <w:t>Import Certification</w:t>
      </w:r>
    </w:p>
    <w:p w14:paraId="236A109A" w14:textId="3D937645" w:rsidR="008D0A96" w:rsidRDefault="008D0A96" w:rsidP="008D0A96">
      <w:pPr>
        <w:pStyle w:val="kj041234"/>
        <w:ind w:hanging="1080"/>
      </w:pPr>
      <w:r>
        <w:t>Export Notification</w:t>
      </w:r>
    </w:p>
    <w:p w14:paraId="02333D32" w14:textId="03D77088" w:rsidR="008D0A96" w:rsidRPr="00420EEA" w:rsidRDefault="008D0A96" w:rsidP="008D0A96">
      <w:pPr>
        <w:pStyle w:val="kj041234"/>
        <w:ind w:hanging="1080"/>
        <w:rPr>
          <w:b/>
        </w:rPr>
      </w:pPr>
      <w:r w:rsidRPr="00420EEA">
        <w:t xml:space="preserve">Pre-manufacture Notification (PMN) </w:t>
      </w:r>
      <w:r w:rsidR="0030133D">
        <w:t>and</w:t>
      </w:r>
      <w:r w:rsidRPr="00420EEA">
        <w:t xml:space="preserve"> Notice of Commencement (NOC)</w:t>
      </w:r>
    </w:p>
    <w:p w14:paraId="02BF46DD" w14:textId="10B947AB" w:rsidR="008D0A96" w:rsidRPr="00420EEA" w:rsidRDefault="008D0A96" w:rsidP="008D0A96">
      <w:pPr>
        <w:pStyle w:val="kj041234"/>
        <w:ind w:hanging="1080"/>
        <w:rPr>
          <w:b/>
        </w:rPr>
      </w:pPr>
      <w:r w:rsidRPr="00420EEA">
        <w:t xml:space="preserve">Significant New Use Rule (SNUR) </w:t>
      </w:r>
      <w:r w:rsidR="0030133D">
        <w:t>and</w:t>
      </w:r>
      <w:r w:rsidRPr="00420EEA">
        <w:t xml:space="preserve"> Significant New Use Notice (SNUN)</w:t>
      </w:r>
    </w:p>
    <w:p w14:paraId="7F0E3964" w14:textId="77777777" w:rsidR="008D0A96" w:rsidRPr="00420EEA" w:rsidRDefault="008D0A96" w:rsidP="008D0A96">
      <w:pPr>
        <w:pStyle w:val="kj041234"/>
        <w:ind w:hanging="1080"/>
        <w:rPr>
          <w:b/>
        </w:rPr>
      </w:pPr>
      <w:r w:rsidRPr="00420EEA">
        <w:t>R&amp;D Exemption</w:t>
      </w:r>
    </w:p>
    <w:p w14:paraId="5FBCAF80" w14:textId="77777777" w:rsidR="008D0A96" w:rsidRPr="00420EEA" w:rsidRDefault="008D0A96" w:rsidP="008D0A96">
      <w:pPr>
        <w:pStyle w:val="kj041234"/>
        <w:ind w:hanging="1080"/>
        <w:rPr>
          <w:b/>
        </w:rPr>
      </w:pPr>
      <w:r w:rsidRPr="00420EEA">
        <w:t>Polymer Exemption</w:t>
      </w:r>
    </w:p>
    <w:p w14:paraId="255C838D" w14:textId="50015540" w:rsidR="008D0A96" w:rsidRDefault="008D0A96" w:rsidP="008D0A96">
      <w:pPr>
        <w:pStyle w:val="kj041234"/>
        <w:ind w:hanging="1080"/>
      </w:pPr>
      <w:r w:rsidRPr="00420EEA">
        <w:t xml:space="preserve">Allegations of Adverse Reactions </w:t>
      </w:r>
      <w:r w:rsidR="0030133D">
        <w:t>and</w:t>
      </w:r>
      <w:r w:rsidRPr="00420EEA">
        <w:t xml:space="preserve"> Notice of Substantial</w:t>
      </w:r>
      <w:r>
        <w:t xml:space="preserve"> Risk</w:t>
      </w:r>
    </w:p>
    <w:p w14:paraId="7AD18290" w14:textId="77777777" w:rsidR="00C47D90" w:rsidRDefault="00C47D90" w:rsidP="00186118">
      <w:pPr>
        <w:pStyle w:val="kj0010TextOnly"/>
      </w:pPr>
    </w:p>
    <w:p w14:paraId="33EA7B37" w14:textId="77777777" w:rsidR="00C47D90" w:rsidRDefault="00C47D90" w:rsidP="00186118">
      <w:pPr>
        <w:pStyle w:val="kj0010TextOnly"/>
      </w:pPr>
    </w:p>
    <w:p w14:paraId="6BE11BAA" w14:textId="77777777" w:rsidR="000C2EB0" w:rsidRDefault="001D5FBA" w:rsidP="000C2EB0">
      <w:hyperlink w:anchor="TableOfContents" w:history="1">
        <w:r w:rsidR="000C2EB0" w:rsidRPr="00066290">
          <w:rPr>
            <w:rStyle w:val="Hyperlink"/>
            <w:rFonts w:cs="Arial"/>
            <w:sz w:val="16"/>
            <w:szCs w:val="14"/>
          </w:rPr>
          <w:t>Return to Table of Contents</w:t>
        </w:r>
      </w:hyperlink>
      <w:r w:rsidR="000C2EB0">
        <w:br w:type="page"/>
      </w:r>
    </w:p>
    <w:p w14:paraId="2EE98DFA" w14:textId="286C7701" w:rsidR="00066290" w:rsidRPr="00066290" w:rsidRDefault="000C2EB0" w:rsidP="00066290">
      <w:pPr>
        <w:pStyle w:val="kj0010"/>
        <w:tabs>
          <w:tab w:val="clear" w:pos="360"/>
        </w:tabs>
        <w:rPr>
          <w:rFonts w:cs="Arial"/>
        </w:rPr>
      </w:pPr>
      <w:bookmarkStart w:id="35" w:name="_Toc67394571"/>
      <w:bookmarkStart w:id="36" w:name="_Toc161133579"/>
      <w:r>
        <w:rPr>
          <w:rFonts w:cs="Arial"/>
        </w:rPr>
        <w:t>Sourcing</w:t>
      </w:r>
      <w:bookmarkEnd w:id="35"/>
      <w:bookmarkEnd w:id="36"/>
    </w:p>
    <w:p w14:paraId="50F871C2" w14:textId="5D7F1B32" w:rsidR="00066290" w:rsidRPr="00066290" w:rsidRDefault="000C2EB0" w:rsidP="00066290">
      <w:pPr>
        <w:pStyle w:val="kj0212"/>
        <w:tabs>
          <w:tab w:val="clear" w:pos="360"/>
        </w:tabs>
        <w:rPr>
          <w:rFonts w:cs="Arial"/>
        </w:rPr>
      </w:pPr>
      <w:bookmarkStart w:id="37" w:name="_Toc161133580"/>
      <w:r>
        <w:rPr>
          <w:rFonts w:cs="Arial"/>
        </w:rPr>
        <w:t>Supplier Approval</w:t>
      </w:r>
      <w:bookmarkEnd w:id="37"/>
    </w:p>
    <w:p w14:paraId="0EA9204B" w14:textId="274ACC8C" w:rsidR="00154D6D" w:rsidRPr="00D15C9F" w:rsidRDefault="00D15C9F" w:rsidP="00D15C9F">
      <w:pPr>
        <w:pStyle w:val="kj03123"/>
        <w:tabs>
          <w:tab w:val="clear" w:pos="360"/>
          <w:tab w:val="clear" w:pos="1267"/>
          <w:tab w:val="num" w:pos="1260"/>
        </w:tabs>
      </w:pPr>
      <w:r w:rsidRPr="00420EEA">
        <w:rPr>
          <w:bCs/>
          <w:szCs w:val="22"/>
        </w:rPr>
        <w:t>GT requires the following documentation to be in place prior to adding a supplier to the Approved Supplier List</w:t>
      </w:r>
      <w:r>
        <w:rPr>
          <w:bCs/>
          <w:szCs w:val="22"/>
        </w:rPr>
        <w:t>:</w:t>
      </w:r>
    </w:p>
    <w:p w14:paraId="4156FF2D" w14:textId="7CED6206" w:rsidR="00D15C9F" w:rsidRPr="00DB2389" w:rsidRDefault="001D5FBA" w:rsidP="00D15C9F">
      <w:pPr>
        <w:pStyle w:val="kj041234"/>
        <w:ind w:hanging="1080"/>
      </w:pPr>
      <w:r w:rsidRPr="00865577">
        <mc:AlternateContent>
          <mc:Choice Requires="wps">
            <w:drawing>
              <wp:anchor distT="45720" distB="45720" distL="114300" distR="114300" simplePos="0" relativeHeight="251723776" behindDoc="0" locked="0" layoutInCell="1" allowOverlap="1" wp14:anchorId="195EE3ED" wp14:editId="075B050B">
                <wp:simplePos x="0" y="0"/>
                <wp:positionH relativeFrom="column">
                  <wp:posOffset>-384546</wp:posOffset>
                </wp:positionH>
                <wp:positionV relativeFrom="paragraph">
                  <wp:posOffset>163830</wp:posOffset>
                </wp:positionV>
                <wp:extent cx="365760" cy="1404620"/>
                <wp:effectExtent l="0" t="0" r="0" b="8890"/>
                <wp:wrapNone/>
                <wp:docPr id="3687765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404620"/>
                        </a:xfrm>
                        <a:prstGeom prst="rect">
                          <a:avLst/>
                        </a:prstGeom>
                        <a:solidFill>
                          <a:srgbClr val="FFFFFF"/>
                        </a:solidFill>
                        <a:ln w="9525">
                          <a:noFill/>
                          <a:miter lim="800000"/>
                          <a:headEnd/>
                          <a:tailEnd/>
                        </a:ln>
                      </wps:spPr>
                      <wps:txbx>
                        <w:txbxContent>
                          <w:p w14:paraId="45563A90" w14:textId="77777777" w:rsidR="001D5FBA" w:rsidRPr="006659B4" w:rsidRDefault="001D5FBA" w:rsidP="001D5FBA">
                            <w:pPr>
                              <w:tabs>
                                <w:tab w:val="left" w:pos="187"/>
                                <w:tab w:val="left" w:pos="547"/>
                                <w:tab w:val="left" w:pos="1267"/>
                                <w:tab w:val="left" w:pos="2160"/>
                                <w:tab w:val="left" w:pos="3240"/>
                                <w:tab w:val="left" w:pos="4320"/>
                                <w:tab w:val="left" w:pos="5760"/>
                                <w:tab w:val="left" w:pos="7387"/>
                              </w:tabs>
                              <w:jc w:val="right"/>
                              <w:rPr>
                                <w:rFonts w:cs="Arial"/>
                              </w:rPr>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5EE3ED" id="_x0000_t202" coordsize="21600,21600" o:spt="202" path="m,l,21600r21600,l21600,xe">
                <v:stroke joinstyle="miter"/>
                <v:path gradientshapeok="t" o:connecttype="rect"/>
              </v:shapetype>
              <v:shape id="_x0000_s1037" type="#_x0000_t202" style="position:absolute;left:0;text-align:left;margin-left:-30.3pt;margin-top:12.9pt;width:28.8pt;height:110.6pt;z-index:251723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6EwIAAP4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" stroked="f">
                <v:textbox style="mso-fit-shape-to-text:t">
                  <w:txbxContent>
                    <w:p w14:paraId="45563A90" w14:textId="77777777" w:rsidR="001D5FBA" w:rsidRPr="006659B4" w:rsidRDefault="001D5FBA" w:rsidP="001D5FBA">
                      <w:pPr>
                        <w:tabs>
                          <w:tab w:val="left" w:pos="187"/>
                          <w:tab w:val="left" w:pos="547"/>
                          <w:tab w:val="left" w:pos="1267"/>
                          <w:tab w:val="left" w:pos="2160"/>
                          <w:tab w:val="left" w:pos="3240"/>
                          <w:tab w:val="left" w:pos="4320"/>
                          <w:tab w:val="left" w:pos="5760"/>
                          <w:tab w:val="left" w:pos="7387"/>
                        </w:tabs>
                        <w:jc w:val="right"/>
                        <w:rPr>
                          <w:rFonts w:cs="Arial"/>
                        </w:rPr>
                      </w:pPr>
                      <w:r>
                        <w:t>|</w:t>
                      </w:r>
                    </w:p>
                  </w:txbxContent>
                </v:textbox>
              </v:shape>
            </w:pict>
          </mc:Fallback>
        </mc:AlternateContent>
      </w:r>
      <w:r w:rsidR="00DB2389" w:rsidRPr="00420EEA">
        <w:rPr>
          <w:rFonts w:cs="Arial"/>
          <w:bCs/>
          <w:szCs w:val="22"/>
        </w:rPr>
        <w:t xml:space="preserve">Signed NDA (Non-Disclosure Agreement), except as </w:t>
      </w:r>
      <w:r w:rsidR="00DB2389" w:rsidRPr="008F6D95">
        <w:rPr>
          <w:rFonts w:cs="Arial"/>
          <w:bCs/>
          <w:color w:val="000000" w:themeColor="text1"/>
          <w:szCs w:val="22"/>
        </w:rPr>
        <w:t xml:space="preserve">noted in Section </w:t>
      </w:r>
      <w:r w:rsidR="001927AD">
        <w:rPr>
          <w:rFonts w:cs="Arial"/>
          <w:bCs/>
          <w:color w:val="000000" w:themeColor="text1"/>
          <w:szCs w:val="22"/>
        </w:rPr>
        <w:fldChar w:fldCharType="begin"/>
      </w:r>
      <w:r w:rsidR="001927AD">
        <w:rPr>
          <w:rFonts w:cs="Arial"/>
          <w:bCs/>
          <w:color w:val="000000" w:themeColor="text1"/>
          <w:szCs w:val="22"/>
        </w:rPr>
        <w:instrText xml:space="preserve"> REF _Ref161038770 \r \h </w:instrText>
      </w:r>
      <w:r w:rsidR="001927AD">
        <w:rPr>
          <w:rFonts w:cs="Arial"/>
          <w:bCs/>
          <w:color w:val="000000" w:themeColor="text1"/>
          <w:szCs w:val="22"/>
        </w:rPr>
      </w:r>
      <w:r w:rsidR="001927AD">
        <w:rPr>
          <w:rFonts w:cs="Arial"/>
          <w:bCs/>
          <w:color w:val="000000" w:themeColor="text1"/>
          <w:szCs w:val="22"/>
        </w:rPr>
        <w:fldChar w:fldCharType="separate"/>
      </w:r>
      <w:r w:rsidR="001927AD">
        <w:rPr>
          <w:rFonts w:cs="Arial"/>
          <w:bCs/>
          <w:color w:val="000000" w:themeColor="text1"/>
          <w:szCs w:val="22"/>
        </w:rPr>
        <w:t>2.8</w:t>
      </w:r>
      <w:r w:rsidR="001927AD">
        <w:rPr>
          <w:rFonts w:cs="Arial"/>
          <w:bCs/>
          <w:color w:val="000000" w:themeColor="text1"/>
          <w:szCs w:val="22"/>
        </w:rPr>
        <w:fldChar w:fldCharType="end"/>
      </w:r>
      <w:r w:rsidR="00DB2389">
        <w:rPr>
          <w:rFonts w:cs="Arial"/>
          <w:bCs/>
          <w:color w:val="000000" w:themeColor="text1"/>
          <w:szCs w:val="22"/>
        </w:rPr>
        <w:t>.</w:t>
      </w:r>
    </w:p>
    <w:p w14:paraId="5341D01C" w14:textId="06E43C63" w:rsidR="00DB2389" w:rsidRPr="00DB2389" w:rsidRDefault="00DB2389" w:rsidP="00D15C9F">
      <w:pPr>
        <w:pStyle w:val="kj041234"/>
        <w:ind w:hanging="1080"/>
      </w:pPr>
      <w:r w:rsidRPr="00420EEA">
        <w:rPr>
          <w:rFonts w:cs="Arial"/>
          <w:bCs/>
          <w:szCs w:val="22"/>
        </w:rPr>
        <w:t>Completed supplier survey form (tooling, production component or service suppliers will use form # FR-</w:t>
      </w:r>
      <w:r w:rsidR="001D5FBA">
        <w:rPr>
          <w:rFonts w:cs="Arial"/>
          <w:bCs/>
          <w:szCs w:val="22"/>
        </w:rPr>
        <w:t>NBS-14.003</w:t>
      </w:r>
      <w:r w:rsidRPr="00420EEA">
        <w:rPr>
          <w:rFonts w:cs="Arial"/>
          <w:bCs/>
          <w:szCs w:val="22"/>
        </w:rPr>
        <w:t>, non-production related suppliers will use FR-</w:t>
      </w:r>
      <w:r w:rsidR="001D5FBA">
        <w:rPr>
          <w:rFonts w:cs="Arial"/>
          <w:bCs/>
          <w:szCs w:val="22"/>
        </w:rPr>
        <w:t>NBS-14.004</w:t>
      </w:r>
      <w:r>
        <w:rPr>
          <w:rFonts w:cs="Arial"/>
          <w:bCs/>
          <w:szCs w:val="22"/>
        </w:rPr>
        <w:t>.</w:t>
      </w:r>
    </w:p>
    <w:p w14:paraId="56F2EDEB" w14:textId="05533A18" w:rsidR="00DB2389" w:rsidRPr="00DB2389" w:rsidRDefault="00DB2389" w:rsidP="00D15C9F">
      <w:pPr>
        <w:pStyle w:val="kj041234"/>
        <w:ind w:hanging="1080"/>
      </w:pPr>
      <w:r w:rsidRPr="00420EEA">
        <w:rPr>
          <w:rFonts w:cs="Arial"/>
          <w:bCs/>
          <w:szCs w:val="22"/>
        </w:rPr>
        <w:t>Certificate of general liability insurance</w:t>
      </w:r>
      <w:r>
        <w:rPr>
          <w:rFonts w:cs="Arial"/>
          <w:bCs/>
          <w:szCs w:val="22"/>
        </w:rPr>
        <w:t>.</w:t>
      </w:r>
    </w:p>
    <w:p w14:paraId="4086C071" w14:textId="6F2582F2" w:rsidR="00DB2389" w:rsidRPr="00DB2389" w:rsidRDefault="00DB2389" w:rsidP="00D15C9F">
      <w:pPr>
        <w:pStyle w:val="kj041234"/>
        <w:ind w:hanging="1080"/>
      </w:pPr>
      <w:r w:rsidRPr="00420EEA">
        <w:rPr>
          <w:rFonts w:cs="Arial"/>
          <w:bCs/>
          <w:szCs w:val="22"/>
        </w:rPr>
        <w:t>Capability assessment (if required based on product type or service procured</w:t>
      </w:r>
      <w:r>
        <w:rPr>
          <w:rFonts w:cs="Arial"/>
          <w:bCs/>
          <w:szCs w:val="22"/>
        </w:rPr>
        <w:t>)</w:t>
      </w:r>
    </w:p>
    <w:p w14:paraId="3F3719C0" w14:textId="2615837F" w:rsidR="00DB2389" w:rsidRPr="00DB2389" w:rsidRDefault="00DB2389" w:rsidP="00D15C9F">
      <w:pPr>
        <w:pStyle w:val="kj041234"/>
        <w:ind w:hanging="1080"/>
      </w:pPr>
      <w:r w:rsidRPr="00420EEA">
        <w:rPr>
          <w:rFonts w:cs="Arial"/>
          <w:bCs/>
          <w:szCs w:val="22"/>
        </w:rPr>
        <w:t>A copy of any quality management system certifications for the facility supplying a product or service for GT such as ISO</w:t>
      </w:r>
      <w:r w:rsidR="001927AD">
        <w:rPr>
          <w:rFonts w:cs="Arial"/>
          <w:bCs/>
          <w:szCs w:val="22"/>
        </w:rPr>
        <w:t xml:space="preserve"> </w:t>
      </w:r>
      <w:r w:rsidRPr="00420EEA">
        <w:rPr>
          <w:rFonts w:cs="Arial"/>
          <w:bCs/>
          <w:szCs w:val="22"/>
        </w:rPr>
        <w:t>9001, ISO</w:t>
      </w:r>
      <w:r w:rsidR="001927AD">
        <w:rPr>
          <w:rFonts w:cs="Arial"/>
          <w:bCs/>
          <w:szCs w:val="22"/>
        </w:rPr>
        <w:t xml:space="preserve"> </w:t>
      </w:r>
      <w:r w:rsidRPr="00420EEA">
        <w:rPr>
          <w:rFonts w:cs="Arial"/>
          <w:bCs/>
          <w:szCs w:val="22"/>
        </w:rPr>
        <w:t>13485, ISO</w:t>
      </w:r>
      <w:r w:rsidR="001927AD">
        <w:rPr>
          <w:rFonts w:cs="Arial"/>
          <w:bCs/>
          <w:szCs w:val="22"/>
        </w:rPr>
        <w:t xml:space="preserve"> </w:t>
      </w:r>
      <w:r w:rsidRPr="00420EEA">
        <w:rPr>
          <w:rFonts w:cs="Arial"/>
          <w:bCs/>
          <w:szCs w:val="22"/>
        </w:rPr>
        <w:t>14001, AS9100, ISO/TS</w:t>
      </w:r>
      <w:r w:rsidR="001927AD">
        <w:rPr>
          <w:rFonts w:cs="Arial"/>
          <w:bCs/>
          <w:szCs w:val="22"/>
        </w:rPr>
        <w:t xml:space="preserve"> </w:t>
      </w:r>
      <w:r w:rsidRPr="00420EEA">
        <w:rPr>
          <w:rFonts w:cs="Arial"/>
          <w:bCs/>
          <w:szCs w:val="22"/>
        </w:rPr>
        <w:t>16949, ISO</w:t>
      </w:r>
      <w:r w:rsidR="001927AD">
        <w:rPr>
          <w:rFonts w:cs="Arial"/>
          <w:bCs/>
          <w:szCs w:val="22"/>
        </w:rPr>
        <w:t xml:space="preserve">/IEC </w:t>
      </w:r>
      <w:r w:rsidRPr="00420EEA">
        <w:rPr>
          <w:rFonts w:cs="Arial"/>
          <w:bCs/>
          <w:szCs w:val="22"/>
        </w:rPr>
        <w:t>17025, etc. or proof of a documented quality system</w:t>
      </w:r>
      <w:r>
        <w:rPr>
          <w:rFonts w:cs="Arial"/>
          <w:bCs/>
          <w:szCs w:val="22"/>
        </w:rPr>
        <w:t>.</w:t>
      </w:r>
    </w:p>
    <w:p w14:paraId="397CE1DC" w14:textId="4A423D82" w:rsidR="00DB2389" w:rsidRDefault="00DB2389" w:rsidP="00DB2389">
      <w:pPr>
        <w:pStyle w:val="kj041234TextOnly"/>
      </w:pPr>
      <w:r w:rsidRPr="00DB2389">
        <w:rPr>
          <w:rFonts w:cs="Arial"/>
          <w:b/>
          <w:szCs w:val="22"/>
        </w:rPr>
        <w:t>NOTE</w:t>
      </w:r>
      <w:r w:rsidRPr="00420EEA">
        <w:rPr>
          <w:rFonts w:cs="Arial"/>
          <w:bCs/>
          <w:szCs w:val="22"/>
        </w:rPr>
        <w:t xml:space="preserve">: </w:t>
      </w:r>
      <w:r>
        <w:rPr>
          <w:rFonts w:cs="Arial"/>
          <w:bCs/>
          <w:szCs w:val="22"/>
        </w:rPr>
        <w:t xml:space="preserve"> </w:t>
      </w:r>
      <w:r w:rsidRPr="00420EEA">
        <w:rPr>
          <w:rFonts w:cs="Arial"/>
          <w:bCs/>
          <w:szCs w:val="22"/>
        </w:rPr>
        <w:t xml:space="preserve">We hold the supplier responsible for notifying GT of any changes to QMS certification status including any loss of certification or decision not to renew, and to provide updated copies of certifications upon completion of renewal. </w:t>
      </w:r>
      <w:r>
        <w:rPr>
          <w:rFonts w:cs="Arial"/>
          <w:bCs/>
          <w:szCs w:val="22"/>
        </w:rPr>
        <w:t xml:space="preserve"> </w:t>
      </w:r>
      <w:r w:rsidRPr="00420EEA">
        <w:rPr>
          <w:rFonts w:cs="Arial"/>
          <w:bCs/>
          <w:szCs w:val="22"/>
        </w:rPr>
        <w:t>Notification must take place within 30 days of the prior QMS certification lapse</w:t>
      </w:r>
      <w:r>
        <w:rPr>
          <w:rFonts w:cs="Arial"/>
          <w:bCs/>
          <w:szCs w:val="22"/>
        </w:rPr>
        <w:t>.</w:t>
      </w:r>
    </w:p>
    <w:p w14:paraId="4529B1E2" w14:textId="424BD7D9" w:rsidR="000C2EB0" w:rsidRPr="007A7E99" w:rsidRDefault="007A7E99" w:rsidP="007A7E99">
      <w:pPr>
        <w:pStyle w:val="kj03123"/>
        <w:tabs>
          <w:tab w:val="clear" w:pos="360"/>
          <w:tab w:val="clear" w:pos="1267"/>
          <w:tab w:val="num" w:pos="1260"/>
        </w:tabs>
      </w:pPr>
      <w:r w:rsidRPr="00420EEA">
        <w:rPr>
          <w:bCs/>
          <w:szCs w:val="22"/>
        </w:rPr>
        <w:t>During the approval process or conditional acceptance period, GT Supply Chain may require an on-site audit of the manufacturing facility to fully approve the supplier or move them out of the conditional category</w:t>
      </w:r>
      <w:r>
        <w:rPr>
          <w:bCs/>
          <w:szCs w:val="22"/>
        </w:rPr>
        <w:t>.</w:t>
      </w:r>
    </w:p>
    <w:p w14:paraId="280B0D9E" w14:textId="52301535" w:rsidR="007A7E99" w:rsidRPr="007A7E99" w:rsidRDefault="007A7E99" w:rsidP="007A7E99">
      <w:pPr>
        <w:pStyle w:val="kj03123"/>
        <w:tabs>
          <w:tab w:val="clear" w:pos="360"/>
          <w:tab w:val="clear" w:pos="1267"/>
          <w:tab w:val="num" w:pos="1260"/>
        </w:tabs>
      </w:pPr>
      <w:r w:rsidRPr="00420EEA">
        <w:rPr>
          <w:bCs/>
          <w:szCs w:val="22"/>
        </w:rPr>
        <w:t xml:space="preserve">Once a supplier is approved, the above documentation will need to continue to be maintained and re-qualified on a set timeline for the supplier to continue to be used on the Approved </w:t>
      </w:r>
      <w:r>
        <w:rPr>
          <w:bCs/>
          <w:szCs w:val="22"/>
        </w:rPr>
        <w:t>Vendor</w:t>
      </w:r>
      <w:r w:rsidRPr="00420EEA">
        <w:rPr>
          <w:bCs/>
          <w:szCs w:val="22"/>
        </w:rPr>
        <w:t xml:space="preserve"> List (</w:t>
      </w:r>
      <w:r>
        <w:rPr>
          <w:bCs/>
          <w:szCs w:val="22"/>
        </w:rPr>
        <w:t>AVL</w:t>
      </w:r>
      <w:r w:rsidRPr="00420EEA">
        <w:rPr>
          <w:bCs/>
          <w:szCs w:val="22"/>
        </w:rPr>
        <w:t xml:space="preserve">). </w:t>
      </w:r>
      <w:r>
        <w:rPr>
          <w:bCs/>
          <w:szCs w:val="22"/>
        </w:rPr>
        <w:t xml:space="preserve"> </w:t>
      </w:r>
      <w:r w:rsidRPr="00420EEA">
        <w:rPr>
          <w:bCs/>
          <w:szCs w:val="22"/>
        </w:rPr>
        <w:t xml:space="preserve">This timeline for recertification is based on the risk category assigned to supplier for the type of product procured. </w:t>
      </w:r>
      <w:r>
        <w:rPr>
          <w:bCs/>
          <w:szCs w:val="22"/>
        </w:rPr>
        <w:t xml:space="preserve"> </w:t>
      </w:r>
      <w:r w:rsidRPr="00420EEA">
        <w:rPr>
          <w:bCs/>
          <w:szCs w:val="22"/>
        </w:rPr>
        <w:t>A supplier which has passed the Conditional approval stage will be moved into a Qualified, or Preferred classification</w:t>
      </w:r>
      <w:r>
        <w:rPr>
          <w:bCs/>
          <w:szCs w:val="22"/>
        </w:rPr>
        <w:t>.</w:t>
      </w:r>
    </w:p>
    <w:p w14:paraId="0DF34348" w14:textId="77777777" w:rsidR="000C2EB0" w:rsidRDefault="000C2EB0" w:rsidP="000C2EB0">
      <w:pPr>
        <w:pStyle w:val="kj0010TextOnly"/>
      </w:pPr>
    </w:p>
    <w:p w14:paraId="7E2BEEFC" w14:textId="77777777" w:rsidR="00BA31B3" w:rsidRDefault="00BA31B3" w:rsidP="000C2EB0">
      <w:pPr>
        <w:pStyle w:val="kj0010TextOnly"/>
      </w:pPr>
    </w:p>
    <w:p w14:paraId="135C338E" w14:textId="77777777" w:rsidR="00BA31B3" w:rsidRDefault="00BA31B3" w:rsidP="000C2EB0">
      <w:pPr>
        <w:pStyle w:val="kj0010TextOnly"/>
      </w:pPr>
    </w:p>
    <w:p w14:paraId="4A2D17A0" w14:textId="77777777" w:rsidR="00BA31B3" w:rsidRDefault="001D5FBA" w:rsidP="00BA31B3">
      <w:hyperlink w:anchor="TableOfContents" w:history="1">
        <w:r w:rsidR="00BA31B3" w:rsidRPr="00066290">
          <w:rPr>
            <w:rStyle w:val="Hyperlink"/>
            <w:rFonts w:cs="Arial"/>
            <w:sz w:val="16"/>
            <w:szCs w:val="14"/>
          </w:rPr>
          <w:t>Return to Table of Contents</w:t>
        </w:r>
      </w:hyperlink>
      <w:r w:rsidR="00BA31B3">
        <w:br w:type="page"/>
      </w:r>
    </w:p>
    <w:p w14:paraId="573B08E0" w14:textId="1A59AF0F" w:rsidR="00BA31B3" w:rsidRPr="00BA31B3" w:rsidRDefault="00BA31B3" w:rsidP="00BA31B3">
      <w:pPr>
        <w:pStyle w:val="kj03123"/>
        <w:tabs>
          <w:tab w:val="clear" w:pos="360"/>
          <w:tab w:val="clear" w:pos="1267"/>
          <w:tab w:val="num" w:pos="1260"/>
        </w:tabs>
      </w:pPr>
      <w:r>
        <w:rPr>
          <w:bCs/>
          <w:szCs w:val="22"/>
        </w:rPr>
        <w:t>Risk Level Descriptions</w:t>
      </w:r>
    </w:p>
    <w:p w14:paraId="236BF5A1" w14:textId="77777777" w:rsidR="00BA31B3" w:rsidRDefault="00BA31B3" w:rsidP="00BA31B3">
      <w:pPr>
        <w:pStyle w:val="kj03123TextOnly"/>
      </w:pPr>
    </w:p>
    <w:tbl>
      <w:tblPr>
        <w:tblStyle w:val="TableGrid"/>
        <w:tblW w:w="0" w:type="auto"/>
        <w:tblInd w:w="547" w:type="dxa"/>
        <w:tblLook w:val="04A0" w:firstRow="1" w:lastRow="0" w:firstColumn="1" w:lastColumn="0" w:noHBand="0" w:noVBand="1"/>
      </w:tblPr>
      <w:tblGrid>
        <w:gridCol w:w="258"/>
        <w:gridCol w:w="1260"/>
        <w:gridCol w:w="4140"/>
        <w:gridCol w:w="2292"/>
        <w:gridCol w:w="2293"/>
      </w:tblGrid>
      <w:tr w:rsidR="00600F2A" w:rsidRPr="00BA31B3" w14:paraId="1A6AFB47" w14:textId="77777777" w:rsidTr="00600F2A">
        <w:tc>
          <w:tcPr>
            <w:tcW w:w="1518" w:type="dxa"/>
            <w:gridSpan w:val="2"/>
            <w:shd w:val="clear" w:color="auto" w:fill="F2F2F2" w:themeFill="background1" w:themeFillShade="F2"/>
          </w:tcPr>
          <w:p w14:paraId="5E084609" w14:textId="03EA7C38" w:rsidR="00600F2A" w:rsidRPr="00BA31B3" w:rsidRDefault="00600F2A" w:rsidP="00BA31B3">
            <w:pPr>
              <w:pStyle w:val="kj0010TextOnly"/>
              <w:ind w:left="0"/>
              <w:jc w:val="center"/>
              <w:rPr>
                <w:b/>
                <w:bCs/>
                <w:sz w:val="20"/>
              </w:rPr>
            </w:pPr>
            <w:r w:rsidRPr="00BA31B3">
              <w:rPr>
                <w:b/>
                <w:bCs/>
                <w:sz w:val="20"/>
              </w:rPr>
              <w:t>Risk Level</w:t>
            </w:r>
          </w:p>
        </w:tc>
        <w:tc>
          <w:tcPr>
            <w:tcW w:w="4140" w:type="dxa"/>
            <w:shd w:val="clear" w:color="auto" w:fill="F2F2F2" w:themeFill="background1" w:themeFillShade="F2"/>
            <w:vAlign w:val="center"/>
          </w:tcPr>
          <w:p w14:paraId="7E73B76F" w14:textId="7A99C3E0" w:rsidR="00600F2A" w:rsidRPr="00BA31B3" w:rsidRDefault="00600F2A" w:rsidP="00BA31B3">
            <w:pPr>
              <w:pStyle w:val="kj0010TextOnly"/>
              <w:ind w:left="0"/>
              <w:jc w:val="center"/>
              <w:rPr>
                <w:b/>
                <w:bCs/>
                <w:sz w:val="20"/>
              </w:rPr>
            </w:pPr>
            <w:r w:rsidRPr="00BA31B3">
              <w:rPr>
                <w:b/>
                <w:bCs/>
                <w:sz w:val="20"/>
              </w:rPr>
              <w:t>Recertification Requirements</w:t>
            </w:r>
          </w:p>
        </w:tc>
        <w:tc>
          <w:tcPr>
            <w:tcW w:w="2292" w:type="dxa"/>
            <w:shd w:val="clear" w:color="auto" w:fill="F2F2F2" w:themeFill="background1" w:themeFillShade="F2"/>
            <w:vAlign w:val="center"/>
          </w:tcPr>
          <w:p w14:paraId="6AAAC01F" w14:textId="1AE03E26" w:rsidR="00600F2A" w:rsidRPr="00BA31B3" w:rsidRDefault="00600F2A" w:rsidP="00BA31B3">
            <w:pPr>
              <w:pStyle w:val="kj0010TextOnly"/>
              <w:ind w:left="0"/>
              <w:jc w:val="center"/>
              <w:rPr>
                <w:b/>
                <w:bCs/>
                <w:sz w:val="20"/>
              </w:rPr>
            </w:pPr>
            <w:r w:rsidRPr="00BA31B3">
              <w:rPr>
                <w:b/>
                <w:bCs/>
                <w:sz w:val="20"/>
              </w:rPr>
              <w:t>Impact</w:t>
            </w:r>
          </w:p>
        </w:tc>
        <w:tc>
          <w:tcPr>
            <w:tcW w:w="2293" w:type="dxa"/>
            <w:shd w:val="clear" w:color="auto" w:fill="F2F2F2" w:themeFill="background1" w:themeFillShade="F2"/>
            <w:vAlign w:val="center"/>
          </w:tcPr>
          <w:p w14:paraId="38511A4E" w14:textId="32F1AF9A" w:rsidR="00600F2A" w:rsidRPr="00BA31B3" w:rsidRDefault="00600F2A" w:rsidP="00BA31B3">
            <w:pPr>
              <w:pStyle w:val="kj0010TextOnly"/>
              <w:ind w:left="0"/>
              <w:jc w:val="center"/>
              <w:rPr>
                <w:b/>
                <w:bCs/>
                <w:sz w:val="20"/>
              </w:rPr>
            </w:pPr>
            <w:r w:rsidRPr="00BA31B3">
              <w:rPr>
                <w:b/>
                <w:bCs/>
                <w:sz w:val="20"/>
              </w:rPr>
              <w:t>Examples</w:t>
            </w:r>
          </w:p>
        </w:tc>
      </w:tr>
      <w:tr w:rsidR="00BA31B3" w:rsidRPr="00BA31B3" w14:paraId="526353C9" w14:textId="77777777" w:rsidTr="004F1116">
        <w:tc>
          <w:tcPr>
            <w:tcW w:w="258" w:type="dxa"/>
            <w:tcBorders>
              <w:right w:val="nil"/>
            </w:tcBorders>
          </w:tcPr>
          <w:p w14:paraId="15369D93" w14:textId="77777777" w:rsidR="00BA31B3" w:rsidRPr="00BA31B3" w:rsidRDefault="00BA31B3" w:rsidP="000C2EB0">
            <w:pPr>
              <w:pStyle w:val="kj0010TextOnly"/>
              <w:ind w:left="0"/>
              <w:rPr>
                <w:sz w:val="20"/>
              </w:rPr>
            </w:pPr>
          </w:p>
        </w:tc>
        <w:tc>
          <w:tcPr>
            <w:tcW w:w="1260" w:type="dxa"/>
            <w:tcBorders>
              <w:left w:val="nil"/>
            </w:tcBorders>
            <w:vAlign w:val="center"/>
          </w:tcPr>
          <w:p w14:paraId="6B47CE84" w14:textId="5B15F6CD" w:rsidR="00BA31B3" w:rsidRPr="004F1116" w:rsidRDefault="00BA31B3" w:rsidP="00BA31B3">
            <w:pPr>
              <w:pStyle w:val="kj0010TextOnly"/>
              <w:ind w:left="0"/>
              <w:rPr>
                <w:sz w:val="20"/>
              </w:rPr>
            </w:pPr>
            <w:r w:rsidRPr="004F1116">
              <w:rPr>
                <w:sz w:val="20"/>
              </w:rPr>
              <w:t>High</w:t>
            </w:r>
          </w:p>
        </w:tc>
        <w:tc>
          <w:tcPr>
            <w:tcW w:w="4140" w:type="dxa"/>
            <w:vAlign w:val="center"/>
          </w:tcPr>
          <w:p w14:paraId="4C007F18" w14:textId="75E8F566" w:rsidR="00BA31B3" w:rsidRPr="004F1116" w:rsidRDefault="00FC287D" w:rsidP="004F1116">
            <w:pPr>
              <w:pStyle w:val="kj0010TextOnly"/>
              <w:ind w:left="0"/>
              <w:rPr>
                <w:sz w:val="20"/>
              </w:rPr>
            </w:pPr>
            <w:r w:rsidRPr="004F1116">
              <w:rPr>
                <w:sz w:val="20"/>
              </w:rPr>
              <w:t>1-</w:t>
            </w:r>
            <w:r w:rsidR="00BA31B3" w:rsidRPr="004F1116">
              <w:rPr>
                <w:sz w:val="20"/>
              </w:rPr>
              <w:t>Supplier Survey once per year,</w:t>
            </w:r>
          </w:p>
          <w:p w14:paraId="66B0BCFC" w14:textId="77777777" w:rsidR="00BA31B3" w:rsidRPr="004F1116" w:rsidRDefault="00BA31B3" w:rsidP="004F1116">
            <w:pPr>
              <w:pStyle w:val="kj0010TextOnly"/>
              <w:ind w:left="0"/>
              <w:rPr>
                <w:sz w:val="20"/>
              </w:rPr>
            </w:pPr>
            <w:r w:rsidRPr="004F1116">
              <w:rPr>
                <w:sz w:val="20"/>
              </w:rPr>
              <w:t>AND/OR</w:t>
            </w:r>
          </w:p>
          <w:p w14:paraId="3CCA8E0C" w14:textId="3F12B10F" w:rsidR="00BA31B3" w:rsidRPr="004F1116" w:rsidRDefault="00FC287D" w:rsidP="004F1116">
            <w:pPr>
              <w:pStyle w:val="kj0010TextOnly"/>
              <w:ind w:left="0"/>
              <w:rPr>
                <w:sz w:val="20"/>
              </w:rPr>
            </w:pPr>
            <w:r w:rsidRPr="004F1116">
              <w:rPr>
                <w:sz w:val="20"/>
              </w:rPr>
              <w:t>2-</w:t>
            </w:r>
            <w:r w:rsidR="00BA31B3" w:rsidRPr="004F1116">
              <w:rPr>
                <w:sz w:val="20"/>
              </w:rPr>
              <w:t xml:space="preserve">On-site visit or Supplier Audit Report if required by customer. (Yearly, etc.). Otherwise, the audit requirement will be established based on annual supplier status review by SCM, VE, </w:t>
            </w:r>
            <w:r w:rsidR="0030133D">
              <w:rPr>
                <w:sz w:val="20"/>
              </w:rPr>
              <w:t>and</w:t>
            </w:r>
            <w:r w:rsidR="00BA31B3" w:rsidRPr="004F1116">
              <w:rPr>
                <w:sz w:val="20"/>
              </w:rPr>
              <w:t>/or</w:t>
            </w:r>
            <w:r w:rsidR="00BA31B3" w:rsidRPr="004F1116">
              <w:rPr>
                <w:spacing w:val="-8"/>
                <w:sz w:val="20"/>
              </w:rPr>
              <w:t xml:space="preserve"> </w:t>
            </w:r>
            <w:r w:rsidR="00BA31B3" w:rsidRPr="004F1116">
              <w:rPr>
                <w:sz w:val="20"/>
              </w:rPr>
              <w:t>SCCM.</w:t>
            </w:r>
          </w:p>
        </w:tc>
        <w:tc>
          <w:tcPr>
            <w:tcW w:w="2292" w:type="dxa"/>
            <w:vAlign w:val="center"/>
          </w:tcPr>
          <w:p w14:paraId="70E05260" w14:textId="12731827" w:rsidR="00BA31B3" w:rsidRPr="004F1116" w:rsidRDefault="00BA31B3" w:rsidP="00BA31B3">
            <w:pPr>
              <w:pStyle w:val="kj0010TextOnly"/>
              <w:ind w:left="0"/>
              <w:rPr>
                <w:sz w:val="20"/>
              </w:rPr>
            </w:pPr>
            <w:r w:rsidRPr="004F1116">
              <w:rPr>
                <w:sz w:val="20"/>
              </w:rPr>
              <w:t>Direct impact on performance of the finished product which cannot be validated without destructive testing.</w:t>
            </w:r>
          </w:p>
        </w:tc>
        <w:tc>
          <w:tcPr>
            <w:tcW w:w="2293" w:type="dxa"/>
            <w:vAlign w:val="center"/>
          </w:tcPr>
          <w:p w14:paraId="41B83202" w14:textId="5B4F17BE" w:rsidR="00BA31B3" w:rsidRPr="004F1116" w:rsidRDefault="00BA31B3" w:rsidP="00BA31B3">
            <w:pPr>
              <w:pStyle w:val="kj0010TextOnly"/>
              <w:ind w:left="0"/>
              <w:rPr>
                <w:sz w:val="20"/>
              </w:rPr>
            </w:pPr>
            <w:r w:rsidRPr="004F1116">
              <w:rPr>
                <w:sz w:val="20"/>
              </w:rPr>
              <w:t>Resins, raw material, molded product, special processes, sole source</w:t>
            </w:r>
          </w:p>
        </w:tc>
      </w:tr>
      <w:tr w:rsidR="00BA31B3" w:rsidRPr="00BA31B3" w14:paraId="4F334438" w14:textId="77777777" w:rsidTr="003C5F6B">
        <w:tc>
          <w:tcPr>
            <w:tcW w:w="258" w:type="dxa"/>
            <w:tcBorders>
              <w:right w:val="nil"/>
            </w:tcBorders>
            <w:vAlign w:val="center"/>
          </w:tcPr>
          <w:p w14:paraId="479236C9" w14:textId="77777777" w:rsidR="00BA31B3" w:rsidRPr="00BA31B3" w:rsidRDefault="00BA31B3" w:rsidP="003C5F6B">
            <w:pPr>
              <w:pStyle w:val="kj0010TextOnly"/>
              <w:ind w:left="0"/>
              <w:rPr>
                <w:sz w:val="20"/>
              </w:rPr>
            </w:pPr>
          </w:p>
        </w:tc>
        <w:tc>
          <w:tcPr>
            <w:tcW w:w="1260" w:type="dxa"/>
            <w:tcBorders>
              <w:left w:val="nil"/>
            </w:tcBorders>
            <w:vAlign w:val="center"/>
          </w:tcPr>
          <w:p w14:paraId="4F4CA505" w14:textId="03C36292" w:rsidR="00BA31B3" w:rsidRPr="004F1116" w:rsidRDefault="00BA31B3" w:rsidP="003C5F6B">
            <w:pPr>
              <w:pStyle w:val="kj0010TextOnly"/>
              <w:ind w:left="0"/>
              <w:rPr>
                <w:sz w:val="20"/>
              </w:rPr>
            </w:pPr>
            <w:r w:rsidRPr="004F1116">
              <w:rPr>
                <w:sz w:val="20"/>
              </w:rPr>
              <w:t>Medium</w:t>
            </w:r>
          </w:p>
        </w:tc>
        <w:tc>
          <w:tcPr>
            <w:tcW w:w="4140" w:type="dxa"/>
            <w:vAlign w:val="center"/>
          </w:tcPr>
          <w:p w14:paraId="570EC015" w14:textId="5961ACBE" w:rsidR="00FC287D" w:rsidRPr="004F1116" w:rsidRDefault="004F1116" w:rsidP="003C5F6B">
            <w:pPr>
              <w:pStyle w:val="kj0010TextOnly"/>
              <w:ind w:left="0"/>
              <w:rPr>
                <w:sz w:val="20"/>
              </w:rPr>
            </w:pPr>
            <w:r w:rsidRPr="004F1116">
              <w:rPr>
                <w:sz w:val="20"/>
              </w:rPr>
              <w:t>1-</w:t>
            </w:r>
            <w:r w:rsidR="00FC287D" w:rsidRPr="004F1116">
              <w:rPr>
                <w:sz w:val="20"/>
              </w:rPr>
              <w:t xml:space="preserve">Supplier Survey </w:t>
            </w:r>
            <w:r w:rsidRPr="004F1116">
              <w:rPr>
                <w:sz w:val="20"/>
              </w:rPr>
              <w:t>every three</w:t>
            </w:r>
            <w:r w:rsidR="00FC287D" w:rsidRPr="004F1116">
              <w:rPr>
                <w:sz w:val="20"/>
              </w:rPr>
              <w:t xml:space="preserve"> year</w:t>
            </w:r>
            <w:r w:rsidRPr="004F1116">
              <w:rPr>
                <w:sz w:val="20"/>
              </w:rPr>
              <w:t>s,</w:t>
            </w:r>
          </w:p>
          <w:p w14:paraId="6BEBC469" w14:textId="77777777" w:rsidR="00FC287D" w:rsidRPr="004F1116" w:rsidRDefault="00FC287D" w:rsidP="003C5F6B">
            <w:pPr>
              <w:pStyle w:val="kj0010TextOnly"/>
              <w:ind w:left="0"/>
              <w:rPr>
                <w:sz w:val="20"/>
              </w:rPr>
            </w:pPr>
            <w:r w:rsidRPr="004F1116">
              <w:rPr>
                <w:sz w:val="20"/>
              </w:rPr>
              <w:t>AND/OR</w:t>
            </w:r>
          </w:p>
          <w:p w14:paraId="4A638F27" w14:textId="2C23D479" w:rsidR="00BA31B3" w:rsidRPr="004F1116" w:rsidRDefault="004F1116" w:rsidP="003C5F6B">
            <w:pPr>
              <w:pStyle w:val="kj0010TextOnly"/>
              <w:ind w:left="0"/>
              <w:rPr>
                <w:sz w:val="20"/>
              </w:rPr>
            </w:pPr>
            <w:r w:rsidRPr="004F1116">
              <w:rPr>
                <w:sz w:val="20"/>
              </w:rPr>
              <w:t>2-</w:t>
            </w:r>
            <w:r w:rsidR="00FC287D" w:rsidRPr="004F1116">
              <w:rPr>
                <w:sz w:val="20"/>
              </w:rPr>
              <w:t>On-site Supplier Audit Report</w:t>
            </w:r>
          </w:p>
        </w:tc>
        <w:tc>
          <w:tcPr>
            <w:tcW w:w="2292" w:type="dxa"/>
            <w:vAlign w:val="center"/>
          </w:tcPr>
          <w:p w14:paraId="5213640A" w14:textId="2D39FBD0" w:rsidR="00BA31B3" w:rsidRPr="004F1116" w:rsidRDefault="004F1116" w:rsidP="003C5F6B">
            <w:pPr>
              <w:pStyle w:val="kj0010TextOnly"/>
              <w:ind w:left="0"/>
              <w:rPr>
                <w:sz w:val="20"/>
              </w:rPr>
            </w:pPr>
            <w:r>
              <w:rPr>
                <w:sz w:val="20"/>
              </w:rPr>
              <w:t>Impact on performance of finished product but can be validated through non-destructive testing.</w:t>
            </w:r>
          </w:p>
        </w:tc>
        <w:tc>
          <w:tcPr>
            <w:tcW w:w="2293" w:type="dxa"/>
            <w:vAlign w:val="center"/>
          </w:tcPr>
          <w:p w14:paraId="687798F1" w14:textId="0A5F5B2F" w:rsidR="00BA31B3" w:rsidRPr="004F1116" w:rsidRDefault="004F1116" w:rsidP="003C5F6B">
            <w:pPr>
              <w:pStyle w:val="kj0010TextOnly"/>
              <w:ind w:left="0"/>
              <w:rPr>
                <w:sz w:val="20"/>
              </w:rPr>
            </w:pPr>
            <w:r>
              <w:rPr>
                <w:sz w:val="20"/>
              </w:rPr>
              <w:t>O-rings, machined plastics/metals, tools, outside test labs.</w:t>
            </w:r>
          </w:p>
        </w:tc>
      </w:tr>
      <w:tr w:rsidR="00BA31B3" w:rsidRPr="00BA31B3" w14:paraId="6DD75676" w14:textId="77777777" w:rsidTr="003C5F6B">
        <w:tc>
          <w:tcPr>
            <w:tcW w:w="258" w:type="dxa"/>
            <w:tcBorders>
              <w:right w:val="nil"/>
            </w:tcBorders>
          </w:tcPr>
          <w:p w14:paraId="7CCCFD0B" w14:textId="77777777" w:rsidR="00BA31B3" w:rsidRPr="00BA31B3" w:rsidRDefault="00BA31B3" w:rsidP="000C2EB0">
            <w:pPr>
              <w:pStyle w:val="kj0010TextOnly"/>
              <w:ind w:left="0"/>
              <w:rPr>
                <w:sz w:val="20"/>
              </w:rPr>
            </w:pPr>
          </w:p>
        </w:tc>
        <w:tc>
          <w:tcPr>
            <w:tcW w:w="1260" w:type="dxa"/>
            <w:tcBorders>
              <w:left w:val="nil"/>
            </w:tcBorders>
            <w:vAlign w:val="center"/>
          </w:tcPr>
          <w:p w14:paraId="5F1493FE" w14:textId="71CB08FA" w:rsidR="00BA31B3" w:rsidRPr="00BA31B3" w:rsidRDefault="00BA31B3" w:rsidP="003C5F6B">
            <w:pPr>
              <w:pStyle w:val="kj0010TextOnly"/>
              <w:ind w:left="0"/>
              <w:rPr>
                <w:sz w:val="20"/>
              </w:rPr>
            </w:pPr>
            <w:r>
              <w:rPr>
                <w:sz w:val="20"/>
              </w:rPr>
              <w:t>Low</w:t>
            </w:r>
          </w:p>
        </w:tc>
        <w:tc>
          <w:tcPr>
            <w:tcW w:w="4140" w:type="dxa"/>
            <w:vAlign w:val="center"/>
          </w:tcPr>
          <w:p w14:paraId="337E6100" w14:textId="1A6D5D57" w:rsidR="00BA31B3" w:rsidRPr="00BA31B3" w:rsidRDefault="003C5F6B" w:rsidP="003C5F6B">
            <w:pPr>
              <w:pStyle w:val="kj0010TextOnly"/>
              <w:ind w:left="0"/>
              <w:rPr>
                <w:sz w:val="20"/>
              </w:rPr>
            </w:pPr>
            <w:r>
              <w:rPr>
                <w:sz w:val="20"/>
              </w:rPr>
              <w:t>Supplier Survey every 5 years</w:t>
            </w:r>
          </w:p>
        </w:tc>
        <w:tc>
          <w:tcPr>
            <w:tcW w:w="2292" w:type="dxa"/>
            <w:vAlign w:val="center"/>
          </w:tcPr>
          <w:p w14:paraId="7D365C54" w14:textId="5B3DCC32" w:rsidR="00BA31B3" w:rsidRPr="00BA31B3" w:rsidRDefault="003C5F6B" w:rsidP="003C5F6B">
            <w:pPr>
              <w:pStyle w:val="kj0010TextOnly"/>
              <w:ind w:left="0"/>
              <w:rPr>
                <w:sz w:val="20"/>
              </w:rPr>
            </w:pPr>
            <w:r>
              <w:rPr>
                <w:sz w:val="20"/>
              </w:rPr>
              <w:t>Little or no direct impact on the finished product.</w:t>
            </w:r>
          </w:p>
        </w:tc>
        <w:tc>
          <w:tcPr>
            <w:tcW w:w="2293" w:type="dxa"/>
            <w:vAlign w:val="center"/>
          </w:tcPr>
          <w:p w14:paraId="125BFBCB" w14:textId="3BB2238F" w:rsidR="00BA31B3" w:rsidRPr="00BA31B3" w:rsidRDefault="003C5F6B" w:rsidP="003C5F6B">
            <w:pPr>
              <w:pStyle w:val="kj0010TextOnly"/>
              <w:ind w:left="0"/>
              <w:rPr>
                <w:sz w:val="20"/>
              </w:rPr>
            </w:pPr>
            <w:r>
              <w:rPr>
                <w:sz w:val="20"/>
              </w:rPr>
              <w:t>MRO, office, or facility services.</w:t>
            </w:r>
          </w:p>
        </w:tc>
      </w:tr>
    </w:tbl>
    <w:p w14:paraId="7A448A6A" w14:textId="3D67B366" w:rsidR="000C2EB0" w:rsidRDefault="005B18E6" w:rsidP="005B18E6">
      <w:pPr>
        <w:pStyle w:val="kj0212FIGURETITLE"/>
        <w:ind w:left="720"/>
      </w:pPr>
      <w:r>
        <w:t>figure 1</w:t>
      </w:r>
    </w:p>
    <w:p w14:paraId="087B0F01" w14:textId="77777777" w:rsidR="005B18E6" w:rsidRDefault="005B18E6" w:rsidP="000C2EB0">
      <w:pPr>
        <w:pStyle w:val="kj0010TextOnly"/>
      </w:pPr>
    </w:p>
    <w:p w14:paraId="4D99CF3A" w14:textId="71B7AA4F" w:rsidR="000C2EB0" w:rsidRDefault="009951CC" w:rsidP="009951CC">
      <w:pPr>
        <w:pStyle w:val="kj0212"/>
        <w:tabs>
          <w:tab w:val="clear" w:pos="360"/>
          <w:tab w:val="clear" w:pos="547"/>
          <w:tab w:val="num" w:pos="540"/>
        </w:tabs>
      </w:pPr>
      <w:bookmarkStart w:id="38" w:name="_Toc161133581"/>
      <w:r>
        <w:t>Supplier Classification</w:t>
      </w:r>
      <w:bookmarkEnd w:id="38"/>
    </w:p>
    <w:p w14:paraId="10DEC7C7" w14:textId="4544E26D" w:rsidR="000C2EB0" w:rsidRPr="009951CC" w:rsidRDefault="009951CC" w:rsidP="009951CC">
      <w:pPr>
        <w:pStyle w:val="kj03123"/>
        <w:tabs>
          <w:tab w:val="clear" w:pos="360"/>
          <w:tab w:val="clear" w:pos="1267"/>
          <w:tab w:val="num" w:pos="1260"/>
        </w:tabs>
      </w:pPr>
      <w:r w:rsidRPr="00420EEA">
        <w:rPr>
          <w:rFonts w:cs="Arial"/>
          <w:bCs/>
          <w:szCs w:val="22"/>
        </w:rPr>
        <w:t>GT’s approved suppliers are subdivided into t</w:t>
      </w:r>
      <w:r w:rsidR="00A8435D">
        <w:rPr>
          <w:rFonts w:cs="Arial"/>
          <w:bCs/>
          <w:szCs w:val="22"/>
        </w:rPr>
        <w:t>wo</w:t>
      </w:r>
      <w:r w:rsidRPr="00420EEA">
        <w:rPr>
          <w:rFonts w:cs="Arial"/>
          <w:bCs/>
          <w:szCs w:val="22"/>
        </w:rPr>
        <w:t xml:space="preserve"> classifications based on historical quality </w:t>
      </w:r>
      <w:r>
        <w:rPr>
          <w:rFonts w:cs="Arial"/>
          <w:bCs/>
          <w:szCs w:val="22"/>
        </w:rPr>
        <w:t>and</w:t>
      </w:r>
      <w:r w:rsidRPr="00420EEA">
        <w:rPr>
          <w:rFonts w:cs="Arial"/>
          <w:bCs/>
          <w:szCs w:val="22"/>
        </w:rPr>
        <w:t xml:space="preserve"> delivery performance as well as strategic value and competitive price of their products/processes</w:t>
      </w:r>
      <w:r>
        <w:rPr>
          <w:rFonts w:cs="Arial"/>
          <w:bCs/>
          <w:szCs w:val="22"/>
        </w:rPr>
        <w:t>.</w:t>
      </w:r>
    </w:p>
    <w:p w14:paraId="491E1FB8" w14:textId="795261F6" w:rsidR="009951CC" w:rsidRPr="00A8435D" w:rsidRDefault="009951CC" w:rsidP="009951CC">
      <w:pPr>
        <w:pStyle w:val="kj041234"/>
        <w:ind w:hanging="1080"/>
      </w:pPr>
      <w:r w:rsidRPr="00A8435D">
        <w:rPr>
          <w:rFonts w:cs="Arial"/>
          <w:bCs/>
          <w:szCs w:val="22"/>
        </w:rPr>
        <w:t>Qualified</w:t>
      </w:r>
      <w:r w:rsidRPr="00420EEA">
        <w:rPr>
          <w:rFonts w:cs="Arial"/>
          <w:bCs/>
          <w:szCs w:val="22"/>
        </w:rPr>
        <w:t xml:space="preserve"> –Approval has been given based on information </w:t>
      </w:r>
      <w:r w:rsidR="00A8435D">
        <w:rPr>
          <w:rFonts w:cs="Arial"/>
          <w:bCs/>
          <w:szCs w:val="22"/>
        </w:rPr>
        <w:t xml:space="preserve">(supplier capabilites, material needs, survey responses, QMS, etc.) </w:t>
      </w:r>
      <w:r w:rsidRPr="00420EEA">
        <w:rPr>
          <w:rFonts w:cs="Arial"/>
          <w:bCs/>
          <w:szCs w:val="22"/>
        </w:rPr>
        <w:t xml:space="preserve">provided </w:t>
      </w:r>
      <w:r w:rsidR="00A8435D">
        <w:rPr>
          <w:rFonts w:cs="Arial"/>
          <w:bCs/>
          <w:szCs w:val="22"/>
        </w:rPr>
        <w:t>to</w:t>
      </w:r>
      <w:r w:rsidRPr="00420EEA">
        <w:rPr>
          <w:rFonts w:cs="Arial"/>
          <w:bCs/>
          <w:szCs w:val="22"/>
        </w:rPr>
        <w:t xml:space="preserve"> SCM</w:t>
      </w:r>
      <w:r w:rsidR="00A8435D">
        <w:rPr>
          <w:rFonts w:cs="Arial"/>
          <w:bCs/>
          <w:szCs w:val="22"/>
        </w:rPr>
        <w:t>/CM/</w:t>
      </w:r>
      <w:r>
        <w:rPr>
          <w:rFonts w:cs="Arial"/>
          <w:bCs/>
          <w:szCs w:val="22"/>
        </w:rPr>
        <w:t>VE</w:t>
      </w:r>
      <w:r w:rsidRPr="00420EEA">
        <w:rPr>
          <w:rFonts w:cs="Arial"/>
          <w:bCs/>
          <w:szCs w:val="22"/>
        </w:rPr>
        <w:t>.</w:t>
      </w:r>
    </w:p>
    <w:p w14:paraId="128388AE" w14:textId="0D42351E" w:rsidR="00A8435D" w:rsidRDefault="00A8435D" w:rsidP="00A8435D">
      <w:pPr>
        <w:pStyle w:val="kj041234"/>
        <w:ind w:hanging="1080"/>
      </w:pPr>
      <w:r w:rsidRPr="00A8435D">
        <w:t>Conditional – Approval (as described) with 1-year limit before re-evaluation. Conditions where a supplier would be given Conditional Status</w:t>
      </w:r>
      <w:r>
        <w:t>:</w:t>
      </w:r>
    </w:p>
    <w:p w14:paraId="28B43018" w14:textId="022CB305" w:rsidR="00A8435D" w:rsidRDefault="00A8435D" w:rsidP="00A8435D">
      <w:pPr>
        <w:pStyle w:val="kj0512345"/>
      </w:pPr>
      <w:r>
        <w:t xml:space="preserve">Limited use and/or long-term use/strategy is </w:t>
      </w:r>
      <w:proofErr w:type="gramStart"/>
      <w:r>
        <w:t>TBD</w:t>
      </w:r>
      <w:proofErr w:type="gramEnd"/>
    </w:p>
    <w:p w14:paraId="50BB1EA3" w14:textId="6F49ED97" w:rsidR="00A8435D" w:rsidRDefault="00A8435D" w:rsidP="00A8435D">
      <w:pPr>
        <w:pStyle w:val="kj0512345"/>
      </w:pPr>
      <w:r>
        <w:t>Palmetto Suppliers (until all transitioned into AVL)</w:t>
      </w:r>
    </w:p>
    <w:p w14:paraId="2EA8B3CE" w14:textId="4E7E5C49" w:rsidR="00A8435D" w:rsidRDefault="00A8435D" w:rsidP="00A8435D">
      <w:pPr>
        <w:pStyle w:val="kj0512345"/>
      </w:pPr>
      <w:r>
        <w:t>Missing information (AP, Survey, etc.)</w:t>
      </w:r>
    </w:p>
    <w:p w14:paraId="0BAEE425" w14:textId="2CC83137" w:rsidR="00A8435D" w:rsidRPr="00FD5947" w:rsidRDefault="00A8435D" w:rsidP="00A8435D">
      <w:pPr>
        <w:pStyle w:val="kj0512345"/>
        <w:tabs>
          <w:tab w:val="clear" w:pos="360"/>
          <w:tab w:val="num" w:pos="3240"/>
        </w:tabs>
      </w:pPr>
      <w:r w:rsidRPr="00FD5947">
        <w:t>For more details, see Supplier Approval and Maintenance of AVL CP-NBS-14.</w:t>
      </w:r>
      <w:r w:rsidR="00FD5947" w:rsidRPr="00FD5947">
        <w:t>003</w:t>
      </w:r>
      <w:r w:rsidR="00FD5947">
        <w:t>.</w:t>
      </w:r>
    </w:p>
    <w:p w14:paraId="0D4CEA7E" w14:textId="77777777" w:rsidR="000C2EB0" w:rsidRDefault="000C2EB0" w:rsidP="000C2EB0">
      <w:pPr>
        <w:pStyle w:val="kj0010TextOnly"/>
      </w:pPr>
    </w:p>
    <w:p w14:paraId="405D5E1B" w14:textId="77777777" w:rsidR="00A8435D" w:rsidRDefault="00A8435D" w:rsidP="000C2EB0">
      <w:pPr>
        <w:pStyle w:val="kj0010TextOnly"/>
      </w:pPr>
    </w:p>
    <w:p w14:paraId="0BC7F34F" w14:textId="77777777" w:rsidR="00A8435D" w:rsidRDefault="00A8435D" w:rsidP="000C2EB0">
      <w:pPr>
        <w:pStyle w:val="kj0010TextOnly"/>
      </w:pPr>
    </w:p>
    <w:p w14:paraId="426B8231" w14:textId="77777777" w:rsidR="00A8435D" w:rsidRDefault="00A8435D" w:rsidP="000C2EB0">
      <w:pPr>
        <w:pStyle w:val="kj0010TextOnly"/>
      </w:pPr>
    </w:p>
    <w:p w14:paraId="67BE1146" w14:textId="77777777" w:rsidR="009951CC" w:rsidRDefault="001D5FBA" w:rsidP="009951CC">
      <w:hyperlink w:anchor="TableOfContents" w:history="1">
        <w:r w:rsidR="009951CC" w:rsidRPr="00066290">
          <w:rPr>
            <w:rStyle w:val="Hyperlink"/>
            <w:rFonts w:cs="Arial"/>
            <w:sz w:val="16"/>
            <w:szCs w:val="14"/>
          </w:rPr>
          <w:t>Return to Table of Contents</w:t>
        </w:r>
      </w:hyperlink>
      <w:r w:rsidR="009951CC">
        <w:br w:type="page"/>
      </w:r>
    </w:p>
    <w:bookmarkStart w:id="39" w:name="_Toc161133582"/>
    <w:p w14:paraId="774BD2FA" w14:textId="47BA5566" w:rsidR="000C2EB0" w:rsidRDefault="00A4790C" w:rsidP="00D22B88">
      <w:pPr>
        <w:pStyle w:val="kj0212"/>
        <w:tabs>
          <w:tab w:val="clear" w:pos="360"/>
          <w:tab w:val="clear" w:pos="547"/>
          <w:tab w:val="num" w:pos="540"/>
        </w:tabs>
      </w:pPr>
      <w:r w:rsidRPr="00865577">
        <w:rPr>
          <w:noProof/>
        </w:rPr>
        <mc:AlternateContent>
          <mc:Choice Requires="wps">
            <w:drawing>
              <wp:anchor distT="45720" distB="45720" distL="114300" distR="114300" simplePos="0" relativeHeight="251695104" behindDoc="0" locked="0" layoutInCell="1" allowOverlap="1" wp14:anchorId="24E0DD01" wp14:editId="788994C7">
                <wp:simplePos x="0" y="0"/>
                <wp:positionH relativeFrom="column">
                  <wp:posOffset>-391160</wp:posOffset>
                </wp:positionH>
                <wp:positionV relativeFrom="paragraph">
                  <wp:posOffset>-5451</wp:posOffset>
                </wp:positionV>
                <wp:extent cx="365760" cy="1404620"/>
                <wp:effectExtent l="0" t="0" r="0" b="8890"/>
                <wp:wrapNone/>
                <wp:docPr id="485413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404620"/>
                        </a:xfrm>
                        <a:prstGeom prst="rect">
                          <a:avLst/>
                        </a:prstGeom>
                        <a:solidFill>
                          <a:srgbClr val="FFFFFF"/>
                        </a:solidFill>
                        <a:ln w="9525">
                          <a:noFill/>
                          <a:miter lim="800000"/>
                          <a:headEnd/>
                          <a:tailEnd/>
                        </a:ln>
                      </wps:spPr>
                      <wps:txbx>
                        <w:txbxContent>
                          <w:p w14:paraId="4B525349" w14:textId="77777777" w:rsidR="00A4790C" w:rsidRPr="006659B4" w:rsidRDefault="00A4790C" w:rsidP="00A4790C">
                            <w:pPr>
                              <w:tabs>
                                <w:tab w:val="left" w:pos="187"/>
                                <w:tab w:val="left" w:pos="547"/>
                                <w:tab w:val="left" w:pos="1267"/>
                                <w:tab w:val="left" w:pos="2160"/>
                                <w:tab w:val="left" w:pos="3240"/>
                                <w:tab w:val="left" w:pos="4320"/>
                                <w:tab w:val="left" w:pos="5760"/>
                                <w:tab w:val="left" w:pos="7387"/>
                              </w:tabs>
                              <w:jc w:val="right"/>
                              <w:rPr>
                                <w:rFonts w:cs="Arial"/>
                              </w:rPr>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E0DD01" id="_x0000_s1037" type="#_x0000_t202" style="position:absolute;left:0;text-align:left;margin-left:-30.8pt;margin-top:-.45pt;width:28.8pt;height:110.6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2tEgIAAP4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" stroked="f">
                <v:textbox style="mso-fit-shape-to-text:t">
                  <w:txbxContent>
                    <w:p w14:paraId="4B525349" w14:textId="77777777" w:rsidR="00A4790C" w:rsidRPr="006659B4" w:rsidRDefault="00A4790C" w:rsidP="00A4790C">
                      <w:pPr>
                        <w:tabs>
                          <w:tab w:val="left" w:pos="187"/>
                          <w:tab w:val="left" w:pos="547"/>
                          <w:tab w:val="left" w:pos="1267"/>
                          <w:tab w:val="left" w:pos="2160"/>
                          <w:tab w:val="left" w:pos="3240"/>
                          <w:tab w:val="left" w:pos="4320"/>
                          <w:tab w:val="left" w:pos="5760"/>
                          <w:tab w:val="left" w:pos="7387"/>
                        </w:tabs>
                        <w:jc w:val="right"/>
                        <w:rPr>
                          <w:rFonts w:cs="Arial"/>
                        </w:rPr>
                      </w:pPr>
                      <w:r>
                        <w:t>|</w:t>
                      </w:r>
                    </w:p>
                  </w:txbxContent>
                </v:textbox>
              </v:shape>
            </w:pict>
          </mc:Fallback>
        </mc:AlternateContent>
      </w:r>
      <w:r w:rsidR="00D22B88">
        <w:t>Supplier Metrics</w:t>
      </w:r>
      <w:bookmarkEnd w:id="39"/>
    </w:p>
    <w:p w14:paraId="5BAA1DDB" w14:textId="3D8C3AD8" w:rsidR="00D22B88" w:rsidRDefault="00D22B88" w:rsidP="00D22B88">
      <w:pPr>
        <w:pStyle w:val="kj03123"/>
        <w:tabs>
          <w:tab w:val="clear" w:pos="360"/>
          <w:tab w:val="clear" w:pos="1267"/>
          <w:tab w:val="num" w:pos="1260"/>
        </w:tabs>
      </w:pPr>
      <w:r w:rsidRPr="00420EEA">
        <w:rPr>
          <w:bCs/>
          <w:szCs w:val="22"/>
        </w:rPr>
        <w:t xml:space="preserve">Production </w:t>
      </w:r>
      <w:r w:rsidR="00A4790C">
        <w:rPr>
          <w:bCs/>
          <w:szCs w:val="22"/>
        </w:rPr>
        <w:t>and</w:t>
      </w:r>
      <w:r w:rsidRPr="00420EEA">
        <w:rPr>
          <w:bCs/>
          <w:szCs w:val="22"/>
        </w:rPr>
        <w:t xml:space="preserve"> Tooling suppliers are monitored based on Quality </w:t>
      </w:r>
      <w:r w:rsidR="00A4790C">
        <w:rPr>
          <w:bCs/>
          <w:szCs w:val="22"/>
        </w:rPr>
        <w:t>and</w:t>
      </w:r>
      <w:r w:rsidRPr="00420EEA">
        <w:rPr>
          <w:bCs/>
          <w:szCs w:val="22"/>
        </w:rPr>
        <w:t xml:space="preserve"> Delivery</w:t>
      </w:r>
      <w:r>
        <w:rPr>
          <w:bCs/>
          <w:szCs w:val="22"/>
        </w:rPr>
        <w:t xml:space="preserve"> metrics</w:t>
      </w:r>
      <w:r w:rsidRPr="00420EEA">
        <w:rPr>
          <w:bCs/>
          <w:szCs w:val="22"/>
        </w:rPr>
        <w:t xml:space="preserve">. </w:t>
      </w:r>
      <w:r w:rsidR="00A4790C">
        <w:rPr>
          <w:bCs/>
          <w:szCs w:val="22"/>
        </w:rPr>
        <w:t xml:space="preserve"> </w:t>
      </w:r>
      <w:r w:rsidRPr="00420EEA">
        <w:rPr>
          <w:bCs/>
          <w:szCs w:val="22"/>
        </w:rPr>
        <w:t xml:space="preserve">Quality and Delivery are weighed equally; both categories contribute 50% to the final. </w:t>
      </w:r>
      <w:r w:rsidR="00A4790C">
        <w:rPr>
          <w:bCs/>
          <w:szCs w:val="22"/>
        </w:rPr>
        <w:t xml:space="preserve"> </w:t>
      </w:r>
      <w:r w:rsidRPr="00420EEA">
        <w:rPr>
          <w:bCs/>
          <w:szCs w:val="22"/>
        </w:rPr>
        <w:t xml:space="preserve">The </w:t>
      </w:r>
      <w:r>
        <w:rPr>
          <w:bCs/>
          <w:szCs w:val="22"/>
        </w:rPr>
        <w:t>evaluation</w:t>
      </w:r>
      <w:r w:rsidRPr="00420EEA">
        <w:rPr>
          <w:bCs/>
          <w:szCs w:val="22"/>
        </w:rPr>
        <w:t xml:space="preserve"> rating is based on Quality and Delivery information obtained at the time of receipt and acceptance at the facility, and will be assessed percentage points based on the following</w:t>
      </w:r>
      <w:r w:rsidR="00A4790C">
        <w:rPr>
          <w:bCs/>
          <w:szCs w:val="22"/>
        </w:rPr>
        <w:t>:</w:t>
      </w:r>
    </w:p>
    <w:p w14:paraId="4C233A6A" w14:textId="32DBEC3A" w:rsidR="000C2EB0" w:rsidRPr="00A4790C" w:rsidRDefault="00A4790C" w:rsidP="00A4790C">
      <w:pPr>
        <w:pStyle w:val="kj041234"/>
        <w:ind w:hanging="1080"/>
      </w:pPr>
      <w:r w:rsidRPr="00A4790C">
        <w:t>Quality KPI is a percentage calculated by dividing PO Lines without non-conformance (QN) by Total PO Lines.</w:t>
      </w:r>
    </w:p>
    <w:p w14:paraId="6A90DA3F" w14:textId="2374C1AA" w:rsidR="00A4790C" w:rsidRPr="00A4790C" w:rsidRDefault="00A4790C" w:rsidP="00A4790C">
      <w:pPr>
        <w:pStyle w:val="kj041234"/>
        <w:ind w:hanging="1080"/>
      </w:pPr>
      <w:r w:rsidRPr="00A4790C">
        <w:t xml:space="preserve">Delivery/OTD KPI is a percentage calculated by dividing: </w:t>
      </w:r>
      <w:r>
        <w:t xml:space="preserve"> </w:t>
      </w:r>
      <w:r w:rsidRPr="00A4790C">
        <w:t xml:space="preserve">On Time PO Lines by Total PO Lines. </w:t>
      </w:r>
      <w:r>
        <w:t xml:space="preserve"> </w:t>
      </w:r>
      <w:r w:rsidRPr="00A4790C">
        <w:t>Late line items are estimated using GT statistical delivery date.</w:t>
      </w:r>
    </w:p>
    <w:p w14:paraId="45AB3800" w14:textId="578695FA" w:rsidR="000C2EB0" w:rsidRPr="00A4790C" w:rsidRDefault="00A4790C" w:rsidP="00A4790C">
      <w:pPr>
        <w:pStyle w:val="kj03123"/>
        <w:tabs>
          <w:tab w:val="clear" w:pos="360"/>
          <w:tab w:val="clear" w:pos="1267"/>
          <w:tab w:val="num" w:pos="1260"/>
        </w:tabs>
      </w:pPr>
      <w:r w:rsidRPr="00420EEA">
        <w:rPr>
          <w:bCs/>
          <w:szCs w:val="22"/>
        </w:rPr>
        <w:t xml:space="preserve">The quality, delivery, and overall rating scores for A and B spend suppliers of production materials and tooling on the Approved Supplier List are reviewed twice annually by the Supply Chain Sourcing and Procurement Specialists. </w:t>
      </w:r>
      <w:r>
        <w:rPr>
          <w:bCs/>
          <w:szCs w:val="22"/>
        </w:rPr>
        <w:t xml:space="preserve"> </w:t>
      </w:r>
      <w:r w:rsidRPr="00420EEA">
        <w:rPr>
          <w:bCs/>
          <w:szCs w:val="22"/>
        </w:rPr>
        <w:t>A Supply Chain Manager may perform this task as an alternate.</w:t>
      </w:r>
      <w:r>
        <w:rPr>
          <w:bCs/>
          <w:szCs w:val="22"/>
        </w:rPr>
        <w:t xml:space="preserve"> </w:t>
      </w:r>
      <w:r w:rsidRPr="00420EEA">
        <w:rPr>
          <w:bCs/>
          <w:szCs w:val="22"/>
        </w:rPr>
        <w:t xml:space="preserve"> Copies of these evaluations are provided to the appropriate supplier contact in writing, twice annually, at the time of evaluation.  The data used to calculate the supplier score will be available upon request to the supplier</w:t>
      </w:r>
      <w:r>
        <w:rPr>
          <w:bCs/>
          <w:szCs w:val="22"/>
        </w:rPr>
        <w:t>.</w:t>
      </w:r>
    </w:p>
    <w:p w14:paraId="66D5AC90" w14:textId="657D1686" w:rsidR="00A4790C" w:rsidRPr="00A4790C" w:rsidRDefault="00A4790C" w:rsidP="00A4790C">
      <w:pPr>
        <w:pStyle w:val="kj03123"/>
        <w:tabs>
          <w:tab w:val="clear" w:pos="360"/>
          <w:tab w:val="clear" w:pos="1267"/>
          <w:tab w:val="num" w:pos="1260"/>
        </w:tabs>
      </w:pPr>
      <w:r w:rsidRPr="00420EEA">
        <w:rPr>
          <w:bCs/>
          <w:szCs w:val="22"/>
        </w:rPr>
        <w:t xml:space="preserve">Suppliers who fall below the 95% level during an evaluation period or have a sudden increase in quality or delivery issues may be requested to complete a Supplier Action Plan to return them to an acceptable performance level. </w:t>
      </w:r>
      <w:r>
        <w:rPr>
          <w:bCs/>
          <w:szCs w:val="22"/>
        </w:rPr>
        <w:t xml:space="preserve"> </w:t>
      </w:r>
      <w:r w:rsidRPr="00420EEA">
        <w:rPr>
          <w:bCs/>
          <w:szCs w:val="22"/>
        </w:rPr>
        <w:t>Suppliers with continued under performance or with unacceptable response to their action plan may be suspended from the AVL and be blocked from future purchase orders</w:t>
      </w:r>
      <w:r>
        <w:rPr>
          <w:bCs/>
          <w:szCs w:val="22"/>
        </w:rPr>
        <w:t>.</w:t>
      </w:r>
    </w:p>
    <w:p w14:paraId="697A39F6" w14:textId="216859AD" w:rsidR="00A4790C" w:rsidRPr="00054A41" w:rsidRDefault="00A4790C" w:rsidP="00A4790C">
      <w:pPr>
        <w:pStyle w:val="kj03123"/>
        <w:tabs>
          <w:tab w:val="clear" w:pos="360"/>
          <w:tab w:val="clear" w:pos="1267"/>
          <w:tab w:val="num" w:pos="1260"/>
        </w:tabs>
        <w:rPr>
          <w:b/>
        </w:rPr>
      </w:pPr>
      <w:r w:rsidRPr="00935B77">
        <w:t xml:space="preserve">Defective Parts Per Million (DPPM) and Defective percentage can be used to provide a real-time measurement for evaluation performance. </w:t>
      </w:r>
      <w:r>
        <w:t xml:space="preserve"> </w:t>
      </w:r>
      <w:r w:rsidRPr="00935B77">
        <w:t>DPPM</w:t>
      </w:r>
      <w:r>
        <w:t xml:space="preserve"> </w:t>
      </w:r>
      <w:r w:rsidRPr="00935B77">
        <w:t>is the comparison of the number of units found defective from a QN compared to the overall number of units received.</w:t>
      </w:r>
      <w:r>
        <w:t xml:space="preserve">  </w:t>
      </w:r>
      <w:r w:rsidRPr="00935B77">
        <w:t>The Supplier evaluation process does not use DPPM in its calculations</w:t>
      </w:r>
      <w:r>
        <w:t>.</w:t>
      </w:r>
    </w:p>
    <w:p w14:paraId="50744739" w14:textId="3B4505E2" w:rsidR="00A4790C" w:rsidRDefault="00A4790C" w:rsidP="00A4790C">
      <w:pPr>
        <w:pStyle w:val="kj03123"/>
        <w:tabs>
          <w:tab w:val="clear" w:pos="360"/>
          <w:tab w:val="clear" w:pos="1267"/>
          <w:tab w:val="num" w:pos="1260"/>
        </w:tabs>
      </w:pPr>
      <w:r w:rsidRPr="00B45B49">
        <w:t>Suppliers who use materials provided by GT are responsible for monitoring, managing, and controlling scrap to levels that do not exceed GT standards and expectations</w:t>
      </w:r>
      <w:r>
        <w:t>.</w:t>
      </w:r>
    </w:p>
    <w:p w14:paraId="386DB274" w14:textId="176BFB32" w:rsidR="000C2EB0" w:rsidRDefault="00A4790C" w:rsidP="00A4790C">
      <w:pPr>
        <w:pStyle w:val="kj0212"/>
        <w:tabs>
          <w:tab w:val="clear" w:pos="360"/>
          <w:tab w:val="clear" w:pos="547"/>
          <w:tab w:val="num" w:pos="540"/>
        </w:tabs>
      </w:pPr>
      <w:bookmarkStart w:id="40" w:name="_Toc161133583"/>
      <w:r>
        <w:t>Tool, Mold, and Fixture Builders and Surface Treatments</w:t>
      </w:r>
      <w:bookmarkEnd w:id="40"/>
    </w:p>
    <w:p w14:paraId="0A582169" w14:textId="4FE0BD3F" w:rsidR="000C2EB0" w:rsidRPr="00AC4EBD" w:rsidRDefault="007B6B78" w:rsidP="007B6B78">
      <w:pPr>
        <w:pStyle w:val="kj03123"/>
        <w:tabs>
          <w:tab w:val="clear" w:pos="360"/>
          <w:tab w:val="clear" w:pos="1267"/>
          <w:tab w:val="num" w:pos="1260"/>
        </w:tabs>
      </w:pPr>
      <w:r w:rsidRPr="00420EEA">
        <w:rPr>
          <w:bCs/>
          <w:szCs w:val="22"/>
        </w:rPr>
        <w:t xml:space="preserve">In addition to the supplier approval requirements </w:t>
      </w:r>
      <w:r w:rsidRPr="003D79C2">
        <w:rPr>
          <w:bCs/>
          <w:color w:val="000000" w:themeColor="text1"/>
          <w:szCs w:val="22"/>
        </w:rPr>
        <w:t>per Section 4.1, all tool</w:t>
      </w:r>
      <w:r w:rsidRPr="00420EEA">
        <w:rPr>
          <w:bCs/>
          <w:szCs w:val="22"/>
        </w:rPr>
        <w:t xml:space="preserve">, mold, </w:t>
      </w:r>
      <w:r>
        <w:rPr>
          <w:bCs/>
          <w:szCs w:val="22"/>
        </w:rPr>
        <w:t>and</w:t>
      </w:r>
      <w:r w:rsidRPr="00420EEA">
        <w:rPr>
          <w:bCs/>
          <w:szCs w:val="22"/>
        </w:rPr>
        <w:t xml:space="preserve"> fixture builders will also require completion of the Mold </w:t>
      </w:r>
      <w:r>
        <w:rPr>
          <w:bCs/>
          <w:szCs w:val="22"/>
        </w:rPr>
        <w:t>and</w:t>
      </w:r>
      <w:r w:rsidRPr="00420EEA">
        <w:rPr>
          <w:bCs/>
          <w:szCs w:val="22"/>
        </w:rPr>
        <w:t>Tool Shop Survey (form # FR-GP-0000-00.013) in order to be an approved supplier</w:t>
      </w:r>
      <w:r w:rsidR="00AC4EBD">
        <w:rPr>
          <w:bCs/>
          <w:szCs w:val="22"/>
        </w:rPr>
        <w:t>.</w:t>
      </w:r>
    </w:p>
    <w:p w14:paraId="2AAAE7AF" w14:textId="5935F1D7" w:rsidR="00AC4EBD" w:rsidRPr="00420EEA" w:rsidRDefault="00AC4EBD" w:rsidP="00AC4EBD">
      <w:pPr>
        <w:pStyle w:val="kj03123"/>
        <w:tabs>
          <w:tab w:val="clear" w:pos="360"/>
          <w:tab w:val="clear" w:pos="1267"/>
          <w:tab w:val="num" w:pos="1260"/>
        </w:tabs>
        <w:rPr>
          <w:b/>
        </w:rPr>
      </w:pPr>
      <w:r w:rsidRPr="00420EEA">
        <w:t>Tools, molds, and fixtures will require an inspection report as detailed by the purchase order or print requirements.</w:t>
      </w:r>
    </w:p>
    <w:p w14:paraId="7986DB45" w14:textId="058B9D9A" w:rsidR="00AC4EBD" w:rsidRPr="00420EEA" w:rsidRDefault="00AC4EBD" w:rsidP="00AC4EBD">
      <w:pPr>
        <w:pStyle w:val="kj03123"/>
        <w:tabs>
          <w:tab w:val="clear" w:pos="360"/>
          <w:tab w:val="clear" w:pos="1267"/>
          <w:tab w:val="num" w:pos="1260"/>
        </w:tabs>
        <w:rPr>
          <w:b/>
        </w:rPr>
      </w:pPr>
      <w:r w:rsidRPr="00420EEA">
        <w:t>The purchase order or print may also require a copy of the material certification for the raw material.</w:t>
      </w:r>
    </w:p>
    <w:p w14:paraId="4596D6D5" w14:textId="0BF0F753" w:rsidR="00AC4EBD" w:rsidRPr="00420EEA" w:rsidRDefault="00AC4EBD" w:rsidP="00AC4EBD">
      <w:pPr>
        <w:pStyle w:val="kj03123"/>
        <w:tabs>
          <w:tab w:val="clear" w:pos="360"/>
          <w:tab w:val="clear" w:pos="1267"/>
          <w:tab w:val="num" w:pos="1260"/>
        </w:tabs>
        <w:rPr>
          <w:b/>
        </w:rPr>
      </w:pPr>
      <w:r w:rsidRPr="00420EEA">
        <w:t>The tool, mold, and fixture builder must maintain documentation including the inspection reports and material certification in line with ISO</w:t>
      </w:r>
      <w:r w:rsidR="00226947">
        <w:t xml:space="preserve"> </w:t>
      </w:r>
      <w:r w:rsidRPr="00420EEA">
        <w:t>9001 requirements.</w:t>
      </w:r>
    </w:p>
    <w:p w14:paraId="46BC9174" w14:textId="0B1EADE3" w:rsidR="00AC4EBD" w:rsidRPr="00AC4EBD" w:rsidRDefault="00AC4EBD" w:rsidP="00AC4EBD">
      <w:pPr>
        <w:pStyle w:val="kj03123"/>
        <w:tabs>
          <w:tab w:val="clear" w:pos="360"/>
          <w:tab w:val="clear" w:pos="1267"/>
          <w:tab w:val="num" w:pos="1260"/>
        </w:tabs>
        <w:rPr>
          <w:b/>
        </w:rPr>
      </w:pPr>
      <w:r w:rsidRPr="00420EEA">
        <w:t>The tool, mold, or fixture shall be permanently marked (e.g., stamped, engraved) with the GT tool identification number and manufacture date on a non-critical surface as denoted by the print or purchase order.</w:t>
      </w:r>
    </w:p>
    <w:p w14:paraId="546790D9" w14:textId="77777777" w:rsidR="00AC4EBD" w:rsidRDefault="00AC4EBD" w:rsidP="00AC4EBD"/>
    <w:p w14:paraId="6DC45EB0" w14:textId="77777777" w:rsidR="00AC4EBD" w:rsidRDefault="001D5FBA" w:rsidP="00AC4EBD">
      <w:hyperlink w:anchor="TableOfContents" w:history="1">
        <w:r w:rsidR="00AC4EBD" w:rsidRPr="00066290">
          <w:rPr>
            <w:rStyle w:val="Hyperlink"/>
            <w:rFonts w:cs="Arial"/>
            <w:sz w:val="16"/>
            <w:szCs w:val="14"/>
          </w:rPr>
          <w:t>Return to Table of Contents</w:t>
        </w:r>
      </w:hyperlink>
      <w:r w:rsidR="00AC4EBD">
        <w:br w:type="page"/>
      </w:r>
    </w:p>
    <w:p w14:paraId="6AB8F005" w14:textId="4D37512A" w:rsidR="00AC4EBD" w:rsidRDefault="00AC4EBD" w:rsidP="00AC4EBD">
      <w:pPr>
        <w:pStyle w:val="kj03123"/>
        <w:tabs>
          <w:tab w:val="clear" w:pos="360"/>
          <w:tab w:val="clear" w:pos="1267"/>
          <w:tab w:val="num" w:pos="1260"/>
        </w:tabs>
      </w:pPr>
      <w:r w:rsidRPr="00420EEA">
        <w:t xml:space="preserve">Tools, molds, </w:t>
      </w:r>
      <w:r>
        <w:t>and</w:t>
      </w:r>
      <w:r w:rsidRPr="00420EEA">
        <w:t xml:space="preserve"> fixtures being transported from a supplier to GT must be packaged in a way which will protect and eliminate the potential for in transit damage to the tool, mold, or fixtures critical working features</w:t>
      </w:r>
    </w:p>
    <w:p w14:paraId="3AF0E844" w14:textId="7C5169CF" w:rsidR="00066290" w:rsidRPr="00066290" w:rsidRDefault="00AC4EBD" w:rsidP="00066290">
      <w:pPr>
        <w:pStyle w:val="kj0010"/>
        <w:tabs>
          <w:tab w:val="clear" w:pos="360"/>
        </w:tabs>
        <w:rPr>
          <w:rFonts w:cs="Arial"/>
        </w:rPr>
      </w:pPr>
      <w:bookmarkStart w:id="41" w:name="_Toc161133584"/>
      <w:r>
        <w:rPr>
          <w:rFonts w:cs="Arial"/>
        </w:rPr>
        <w:t>Delivery</w:t>
      </w:r>
      <w:bookmarkEnd w:id="41"/>
    </w:p>
    <w:p w14:paraId="470B54CB" w14:textId="0280C0A9" w:rsidR="00066290" w:rsidRPr="00AC4EBD" w:rsidRDefault="00AC4EBD" w:rsidP="00AC4EBD">
      <w:pPr>
        <w:pStyle w:val="kj0010TextOnly"/>
      </w:pPr>
      <w:r w:rsidRPr="00AC4EBD">
        <w:t xml:space="preserve">Complete requirements for Receiving and Packaging outlined in this section are documented </w:t>
      </w:r>
      <w:r w:rsidR="005712C8">
        <w:t xml:space="preserve">in </w:t>
      </w:r>
      <w:r w:rsidRPr="00AC4EBD">
        <w:t xml:space="preserve">GT Supplier Routing Guide CP-NBS-14.001 and should be reviewed. </w:t>
      </w:r>
      <w:r w:rsidR="009C13E0">
        <w:t xml:space="preserve"> </w:t>
      </w:r>
      <w:r w:rsidRPr="00AC4EBD">
        <w:t>For the complete list, this specification can be found at</w:t>
      </w:r>
      <w:r w:rsidR="009C13E0">
        <w:t>:</w:t>
      </w:r>
    </w:p>
    <w:p w14:paraId="0DD4D006" w14:textId="77777777" w:rsidR="00AC4EBD" w:rsidRPr="00EE1DCB" w:rsidRDefault="00AC4EBD" w:rsidP="00EE1DCB">
      <w:pPr>
        <w:pStyle w:val="kj0212TextOnly"/>
        <w:numPr>
          <w:ilvl w:val="0"/>
          <w:numId w:val="20"/>
        </w:numPr>
        <w:rPr>
          <w:rStyle w:val="Hyperlink"/>
          <w:b/>
          <w:bCs/>
        </w:rPr>
      </w:pPr>
      <w:r w:rsidRPr="00EE1DCB">
        <w:rPr>
          <w:rStyle w:val="Hyperlink"/>
          <w:b/>
          <w:bCs/>
        </w:rPr>
        <w:t>https://</w:t>
      </w:r>
      <w:hyperlink r:id="rId26">
        <w:r w:rsidRPr="00EE1DCB">
          <w:rPr>
            <w:rStyle w:val="Hyperlink"/>
            <w:b/>
            <w:bCs/>
          </w:rPr>
          <w:t>www.gtweed.com/supplier-information/</w:t>
        </w:r>
      </w:hyperlink>
    </w:p>
    <w:p w14:paraId="1B96F584" w14:textId="77777777" w:rsidR="00AC4EBD" w:rsidRDefault="00AC4EBD" w:rsidP="00066290">
      <w:pPr>
        <w:pStyle w:val="kj0010TextOnly"/>
        <w:rPr>
          <w:rFonts w:cs="Arial"/>
        </w:rPr>
      </w:pPr>
    </w:p>
    <w:p w14:paraId="62C1AFB8" w14:textId="6B129E00" w:rsidR="00AC4EBD" w:rsidRDefault="00AC4EBD" w:rsidP="00AC4EBD">
      <w:pPr>
        <w:pStyle w:val="kj0212"/>
        <w:tabs>
          <w:tab w:val="clear" w:pos="360"/>
          <w:tab w:val="clear" w:pos="547"/>
          <w:tab w:val="num" w:pos="540"/>
        </w:tabs>
      </w:pPr>
      <w:bookmarkStart w:id="42" w:name="_Toc161133585"/>
      <w:r>
        <w:t>Incoming Receiving Requirements</w:t>
      </w:r>
      <w:bookmarkEnd w:id="42"/>
    </w:p>
    <w:p w14:paraId="420F9BB1" w14:textId="48A3FACC" w:rsidR="00AC4EBD" w:rsidRDefault="00AC4EBD" w:rsidP="00AC4EBD">
      <w:pPr>
        <w:pStyle w:val="kj0212TextOnly"/>
      </w:pPr>
      <w:r w:rsidRPr="00420EEA">
        <w:rPr>
          <w:bCs/>
          <w:szCs w:val="22"/>
        </w:rPr>
        <w:t xml:space="preserve">In addition to the packaging and labeling requirements </w:t>
      </w:r>
      <w:r w:rsidRPr="0051024D">
        <w:rPr>
          <w:bCs/>
          <w:color w:val="000000" w:themeColor="text1"/>
          <w:szCs w:val="22"/>
        </w:rPr>
        <w:t xml:space="preserve">noted in Section 5.2, the </w:t>
      </w:r>
      <w:r w:rsidRPr="00420EEA">
        <w:rPr>
          <w:bCs/>
          <w:szCs w:val="22"/>
        </w:rPr>
        <w:t>following requirements must also be fulfilled to receive and invoice any product shipped to GT</w:t>
      </w:r>
      <w:r>
        <w:rPr>
          <w:bCs/>
          <w:szCs w:val="22"/>
        </w:rPr>
        <w:t>.</w:t>
      </w:r>
    </w:p>
    <w:p w14:paraId="323CC17D" w14:textId="6D1396C2" w:rsidR="00AC4EBD" w:rsidRPr="00F127C3" w:rsidRDefault="00AC4EBD" w:rsidP="00AC4EBD">
      <w:pPr>
        <w:pStyle w:val="kj03123"/>
        <w:rPr>
          <w:b/>
        </w:rPr>
      </w:pPr>
      <w:r w:rsidRPr="00F127C3">
        <w:t xml:space="preserve">All paperwork provided must be legible </w:t>
      </w:r>
      <w:r>
        <w:t>and</w:t>
      </w:r>
      <w:r w:rsidRPr="00F127C3">
        <w:t xml:space="preserve"> readable.</w:t>
      </w:r>
    </w:p>
    <w:p w14:paraId="5FD79A1F" w14:textId="77777777" w:rsidR="00AC4EBD" w:rsidRPr="00F127C3" w:rsidRDefault="00AC4EBD" w:rsidP="00AC4EBD">
      <w:pPr>
        <w:pStyle w:val="kj03123"/>
        <w:rPr>
          <w:b/>
        </w:rPr>
      </w:pPr>
      <w:r w:rsidRPr="00F127C3">
        <w:t>All quantities on packing list paperwork and the physical counts must match each other.</w:t>
      </w:r>
    </w:p>
    <w:p w14:paraId="3FFCCB47" w14:textId="652A0DF6" w:rsidR="00AC4EBD" w:rsidRDefault="00AC4EBD" w:rsidP="00AC4EBD">
      <w:pPr>
        <w:pStyle w:val="kj03123"/>
      </w:pPr>
      <w:r w:rsidRPr="00F127C3">
        <w:t>Any product drop shipped from a third party must include the GT purchase order in the packing list, not the purchase order between the Tier 1 supplier and the third party</w:t>
      </w:r>
      <w:r w:rsidR="00775A5A">
        <w:t>.</w:t>
      </w:r>
    </w:p>
    <w:p w14:paraId="2D5CFCF9" w14:textId="77777777" w:rsidR="00775A5A" w:rsidRPr="00F127C3" w:rsidRDefault="00775A5A" w:rsidP="00775A5A">
      <w:pPr>
        <w:pStyle w:val="kj03123"/>
        <w:rPr>
          <w:b/>
        </w:rPr>
      </w:pPr>
      <w:r w:rsidRPr="00F127C3">
        <w:t xml:space="preserve">All turnkey/custom finished products must include an inspection report which fulfills the requirements </w:t>
      </w:r>
      <w:r w:rsidRPr="005D27B4">
        <w:rPr>
          <w:color w:val="000000" w:themeColor="text1"/>
        </w:rPr>
        <w:t>of Section 6.1</w:t>
      </w:r>
      <w:r>
        <w:rPr>
          <w:color w:val="000000" w:themeColor="text1"/>
        </w:rPr>
        <w:t>3</w:t>
      </w:r>
      <w:r w:rsidRPr="005D27B4">
        <w:rPr>
          <w:color w:val="000000" w:themeColor="text1"/>
        </w:rPr>
        <w:t xml:space="preserve"> of this </w:t>
      </w:r>
      <w:r w:rsidRPr="00F127C3">
        <w:t>Handbook.</w:t>
      </w:r>
    </w:p>
    <w:p w14:paraId="6361B146" w14:textId="49B67239" w:rsidR="00775A5A" w:rsidRPr="00F127C3" w:rsidRDefault="00775A5A" w:rsidP="00775A5A">
      <w:pPr>
        <w:pStyle w:val="kj03123"/>
        <w:rPr>
          <w:b/>
        </w:rPr>
      </w:pPr>
      <w:r w:rsidRPr="00F127C3">
        <w:t xml:space="preserve">A Certificate of Compliance (C of C) will be required for any part which has a revision-controlled GT print or GTS specification, which states the drawing </w:t>
      </w:r>
      <w:r>
        <w:t>and</w:t>
      </w:r>
      <w:r w:rsidRPr="00F127C3">
        <w:t>/or specification number and revision level to which the material was manufactured, the date of manufacture, the country of origin, GT purchase order number, and the heat/lot/batch the material was manufactured from.</w:t>
      </w:r>
    </w:p>
    <w:p w14:paraId="0EFBD89A" w14:textId="7748CC85" w:rsidR="00775A5A" w:rsidRDefault="00775A5A" w:rsidP="00775A5A">
      <w:pPr>
        <w:pStyle w:val="kj03123"/>
      </w:pPr>
      <w:r w:rsidRPr="00F127C3">
        <w:t>If any special processes were performed in alignment with print or specification requirements (i.e., plating, passivation, heat treatment, welding, etc.) then these shall be noted on the Certificate of Compliance from the entity performing these processes stating the specification and revision or the process parameters they were completed under</w:t>
      </w:r>
      <w:r>
        <w:t>.</w:t>
      </w:r>
    </w:p>
    <w:p w14:paraId="7382E9D2" w14:textId="6FE7918F" w:rsidR="00775A5A" w:rsidRPr="00775A5A" w:rsidRDefault="00775A5A" w:rsidP="00775A5A">
      <w:pPr>
        <w:pStyle w:val="kj03123"/>
      </w:pPr>
      <w:r w:rsidRPr="00865577">
        <mc:AlternateContent>
          <mc:Choice Requires="wps">
            <w:drawing>
              <wp:anchor distT="45720" distB="45720" distL="114300" distR="114300" simplePos="0" relativeHeight="251697152" behindDoc="0" locked="0" layoutInCell="1" allowOverlap="1" wp14:anchorId="276691D4" wp14:editId="1DFD766B">
                <wp:simplePos x="0" y="0"/>
                <wp:positionH relativeFrom="column">
                  <wp:posOffset>-380736</wp:posOffset>
                </wp:positionH>
                <wp:positionV relativeFrom="paragraph">
                  <wp:posOffset>824865</wp:posOffset>
                </wp:positionV>
                <wp:extent cx="365760" cy="1404620"/>
                <wp:effectExtent l="0" t="0" r="0" b="8890"/>
                <wp:wrapNone/>
                <wp:docPr id="825947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404620"/>
                        </a:xfrm>
                        <a:prstGeom prst="rect">
                          <a:avLst/>
                        </a:prstGeom>
                        <a:solidFill>
                          <a:srgbClr val="FFFFFF"/>
                        </a:solidFill>
                        <a:ln w="9525">
                          <a:noFill/>
                          <a:miter lim="800000"/>
                          <a:headEnd/>
                          <a:tailEnd/>
                        </a:ln>
                      </wps:spPr>
                      <wps:txbx>
                        <w:txbxContent>
                          <w:p w14:paraId="50A49FD7" w14:textId="77777777" w:rsidR="00775A5A" w:rsidRPr="006659B4" w:rsidRDefault="00775A5A" w:rsidP="00775A5A">
                            <w:pPr>
                              <w:tabs>
                                <w:tab w:val="left" w:pos="187"/>
                                <w:tab w:val="left" w:pos="547"/>
                                <w:tab w:val="left" w:pos="1267"/>
                                <w:tab w:val="left" w:pos="2160"/>
                                <w:tab w:val="left" w:pos="3240"/>
                                <w:tab w:val="left" w:pos="4320"/>
                                <w:tab w:val="left" w:pos="5760"/>
                                <w:tab w:val="left" w:pos="7387"/>
                              </w:tabs>
                              <w:jc w:val="right"/>
                              <w:rPr>
                                <w:rFonts w:cs="Arial"/>
                              </w:rPr>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6691D4" id="_x0000_s1038" type="#_x0000_t202" style="position:absolute;left:0;text-align:left;margin-left:-30pt;margin-top:64.95pt;width:28.8pt;height:110.6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f9sEgIAAP4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" stroked="f">
                <v:textbox style="mso-fit-shape-to-text:t">
                  <w:txbxContent>
                    <w:p w14:paraId="50A49FD7" w14:textId="77777777" w:rsidR="00775A5A" w:rsidRPr="006659B4" w:rsidRDefault="00775A5A" w:rsidP="00775A5A">
                      <w:pPr>
                        <w:tabs>
                          <w:tab w:val="left" w:pos="187"/>
                          <w:tab w:val="left" w:pos="547"/>
                          <w:tab w:val="left" w:pos="1267"/>
                          <w:tab w:val="left" w:pos="2160"/>
                          <w:tab w:val="left" w:pos="3240"/>
                          <w:tab w:val="left" w:pos="4320"/>
                          <w:tab w:val="left" w:pos="5760"/>
                          <w:tab w:val="left" w:pos="7387"/>
                        </w:tabs>
                        <w:jc w:val="right"/>
                        <w:rPr>
                          <w:rFonts w:cs="Arial"/>
                        </w:rPr>
                      </w:pPr>
                      <w:r>
                        <w:t>|</w:t>
                      </w:r>
                    </w:p>
                  </w:txbxContent>
                </v:textbox>
              </v:shape>
            </w:pict>
          </mc:Fallback>
        </mc:AlternateContent>
      </w:r>
      <w:r w:rsidRPr="00F127C3">
        <w:rPr>
          <w:bCs/>
          <w:szCs w:val="22"/>
        </w:rPr>
        <w:t xml:space="preserve">All supplier </w:t>
      </w:r>
      <w:r>
        <w:rPr>
          <w:bCs/>
          <w:szCs w:val="22"/>
        </w:rPr>
        <w:t>and</w:t>
      </w:r>
      <w:r w:rsidRPr="00F127C3">
        <w:rPr>
          <w:bCs/>
          <w:szCs w:val="22"/>
        </w:rPr>
        <w:t xml:space="preserve"> sub-tier special process supplier C of C’s will be required to be signed and dated by hand or signed electronically for signature authorization. </w:t>
      </w:r>
      <w:r>
        <w:rPr>
          <w:bCs/>
          <w:szCs w:val="22"/>
        </w:rPr>
        <w:t xml:space="preserve"> </w:t>
      </w:r>
      <w:r w:rsidRPr="00F127C3">
        <w:rPr>
          <w:bCs/>
          <w:szCs w:val="22"/>
        </w:rPr>
        <w:t xml:space="preserve">Typed C of C’s with a printed name on the signature line will not be accepted. </w:t>
      </w:r>
      <w:r>
        <w:rPr>
          <w:bCs/>
          <w:szCs w:val="22"/>
        </w:rPr>
        <w:t xml:space="preserve"> </w:t>
      </w:r>
      <w:r w:rsidRPr="00F127C3">
        <w:rPr>
          <w:bCs/>
          <w:szCs w:val="22"/>
        </w:rPr>
        <w:t>The C of C shall state the name and address of the supplier or sub-tier supplier who provided the product or service</w:t>
      </w:r>
      <w:r>
        <w:rPr>
          <w:bCs/>
          <w:szCs w:val="22"/>
        </w:rPr>
        <w:t>.</w:t>
      </w:r>
    </w:p>
    <w:p w14:paraId="3E82ABB3" w14:textId="22511099" w:rsidR="00775A5A" w:rsidRPr="00775A5A" w:rsidRDefault="00775A5A" w:rsidP="00775A5A">
      <w:pPr>
        <w:pStyle w:val="kj03123"/>
      </w:pPr>
      <w:r w:rsidRPr="00775A5A">
        <w:t xml:space="preserve">Metal components must include mill certification with material test report (MTR) of physical </w:t>
      </w:r>
      <w:r>
        <w:t>and</w:t>
      </w:r>
      <w:r w:rsidRPr="00775A5A">
        <w:t xml:space="preserve"> chemical properties, as well as detail for melt process, anneal condition, etc., and any specific requirements provided on the GT drawings, POs, or other specifications provided. </w:t>
      </w:r>
      <w:r>
        <w:t xml:space="preserve"> </w:t>
      </w:r>
      <w:r w:rsidRPr="00775A5A">
        <w:t xml:space="preserve">The material test report must detail both test method used </w:t>
      </w:r>
      <w:r>
        <w:t>and</w:t>
      </w:r>
      <w:r w:rsidRPr="00775A5A">
        <w:t xml:space="preserve"> units of measure (reference EN10204 Type 2.1 </w:t>
      </w:r>
      <w:r>
        <w:t>and</w:t>
      </w:r>
      <w:r w:rsidRPr="00775A5A">
        <w:t xml:space="preserve"> 2.2) including the date of manufacture. </w:t>
      </w:r>
      <w:r>
        <w:t xml:space="preserve"> </w:t>
      </w:r>
      <w:r w:rsidRPr="00775A5A">
        <w:t>See additional notes under Conformance, Steel, or Iron Products from Russ</w:t>
      </w:r>
      <w:r w:rsidR="0076044D">
        <w:t>i</w:t>
      </w:r>
      <w:r w:rsidRPr="00775A5A">
        <w:t>a Section 3.11</w:t>
      </w:r>
      <w:r>
        <w:t>.</w:t>
      </w:r>
    </w:p>
    <w:p w14:paraId="6017BC31" w14:textId="77777777" w:rsidR="00775A5A" w:rsidRDefault="001D5FBA" w:rsidP="00775A5A">
      <w:hyperlink w:anchor="TableOfContents" w:history="1">
        <w:r w:rsidR="00775A5A" w:rsidRPr="00066290">
          <w:rPr>
            <w:rStyle w:val="Hyperlink"/>
            <w:rFonts w:cs="Arial"/>
            <w:sz w:val="16"/>
            <w:szCs w:val="14"/>
          </w:rPr>
          <w:t>Return to Table of Contents</w:t>
        </w:r>
      </w:hyperlink>
      <w:r w:rsidR="00775A5A">
        <w:br w:type="page"/>
      </w:r>
    </w:p>
    <w:p w14:paraId="3DAABC77" w14:textId="1605274F" w:rsidR="00AC4EBD" w:rsidRPr="00775A5A" w:rsidRDefault="00775A5A" w:rsidP="00775A5A">
      <w:pPr>
        <w:pStyle w:val="kj03123"/>
        <w:tabs>
          <w:tab w:val="clear" w:pos="360"/>
          <w:tab w:val="clear" w:pos="1267"/>
          <w:tab w:val="num" w:pos="1260"/>
        </w:tabs>
      </w:pPr>
      <w:r w:rsidRPr="00865577">
        <mc:AlternateContent>
          <mc:Choice Requires="wps">
            <w:drawing>
              <wp:anchor distT="45720" distB="45720" distL="114300" distR="114300" simplePos="0" relativeHeight="251699200" behindDoc="0" locked="0" layoutInCell="1" allowOverlap="1" wp14:anchorId="3BB3E157" wp14:editId="439F24EB">
                <wp:simplePos x="0" y="0"/>
                <wp:positionH relativeFrom="column">
                  <wp:posOffset>-376291</wp:posOffset>
                </wp:positionH>
                <wp:positionV relativeFrom="paragraph">
                  <wp:posOffset>-47625</wp:posOffset>
                </wp:positionV>
                <wp:extent cx="365760" cy="1404620"/>
                <wp:effectExtent l="0" t="0" r="0" b="8890"/>
                <wp:wrapNone/>
                <wp:docPr id="1828424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404620"/>
                        </a:xfrm>
                        <a:prstGeom prst="rect">
                          <a:avLst/>
                        </a:prstGeom>
                        <a:solidFill>
                          <a:srgbClr val="FFFFFF"/>
                        </a:solidFill>
                        <a:ln w="9525">
                          <a:noFill/>
                          <a:miter lim="800000"/>
                          <a:headEnd/>
                          <a:tailEnd/>
                        </a:ln>
                      </wps:spPr>
                      <wps:txbx>
                        <w:txbxContent>
                          <w:p w14:paraId="678805E7" w14:textId="77777777" w:rsidR="00775A5A" w:rsidRPr="006659B4" w:rsidRDefault="00775A5A" w:rsidP="00775A5A">
                            <w:pPr>
                              <w:tabs>
                                <w:tab w:val="left" w:pos="187"/>
                                <w:tab w:val="left" w:pos="547"/>
                                <w:tab w:val="left" w:pos="1267"/>
                                <w:tab w:val="left" w:pos="2160"/>
                                <w:tab w:val="left" w:pos="3240"/>
                                <w:tab w:val="left" w:pos="4320"/>
                                <w:tab w:val="left" w:pos="5760"/>
                                <w:tab w:val="left" w:pos="7387"/>
                              </w:tabs>
                              <w:jc w:val="right"/>
                              <w:rPr>
                                <w:rFonts w:cs="Arial"/>
                              </w:rPr>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B3E157" id="_x0000_s1039" type="#_x0000_t202" style="position:absolute;left:0;text-align:left;margin-left:-29.65pt;margin-top:-3.75pt;width:28.8pt;height:110.6pt;z-index:2516992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" stroked="f">
                <v:textbox style="mso-fit-shape-to-text:t">
                  <w:txbxContent>
                    <w:p w14:paraId="678805E7" w14:textId="77777777" w:rsidR="00775A5A" w:rsidRPr="006659B4" w:rsidRDefault="00775A5A" w:rsidP="00775A5A">
                      <w:pPr>
                        <w:tabs>
                          <w:tab w:val="left" w:pos="187"/>
                          <w:tab w:val="left" w:pos="547"/>
                          <w:tab w:val="left" w:pos="1267"/>
                          <w:tab w:val="left" w:pos="2160"/>
                          <w:tab w:val="left" w:pos="3240"/>
                          <w:tab w:val="left" w:pos="4320"/>
                          <w:tab w:val="left" w:pos="5760"/>
                          <w:tab w:val="left" w:pos="7387"/>
                        </w:tabs>
                        <w:jc w:val="right"/>
                        <w:rPr>
                          <w:rFonts w:cs="Arial"/>
                        </w:rPr>
                      </w:pPr>
                      <w:r>
                        <w:t>|</w:t>
                      </w:r>
                    </w:p>
                  </w:txbxContent>
                </v:textbox>
              </v:shape>
            </w:pict>
          </mc:Fallback>
        </mc:AlternateContent>
      </w:r>
      <w:r w:rsidRPr="00775A5A">
        <w:t xml:space="preserve">Any stock shape thermoplastic or elastomer must include a material test report which includes criteria required per GT material specification (reference EN10204 Type 2.1 </w:t>
      </w:r>
      <w:r w:rsidR="00DC5845">
        <w:t>and</w:t>
      </w:r>
      <w:r w:rsidRPr="00775A5A">
        <w:t xml:space="preserve"> 2.2), including the date of manufacture, batch / lot traceability and/or cure date</w:t>
      </w:r>
      <w:r>
        <w:rPr>
          <w:bCs/>
          <w:szCs w:val="22"/>
        </w:rPr>
        <w:t>.</w:t>
      </w:r>
    </w:p>
    <w:p w14:paraId="3C506B04" w14:textId="024738B8" w:rsidR="00775A5A" w:rsidRPr="00775A5A" w:rsidRDefault="00775A5A" w:rsidP="00775A5A">
      <w:pPr>
        <w:pStyle w:val="kj03123"/>
        <w:tabs>
          <w:tab w:val="clear" w:pos="360"/>
          <w:tab w:val="clear" w:pos="1267"/>
          <w:tab w:val="num" w:pos="1260"/>
        </w:tabs>
      </w:pPr>
      <w:r w:rsidRPr="00F127C3">
        <w:rPr>
          <w:bCs/>
          <w:szCs w:val="22"/>
        </w:rPr>
        <w:t xml:space="preserve">All purchased resins, compounds, </w:t>
      </w:r>
      <w:r w:rsidR="0030133D">
        <w:rPr>
          <w:bCs/>
          <w:szCs w:val="22"/>
        </w:rPr>
        <w:t>and</w:t>
      </w:r>
      <w:r w:rsidRPr="00F127C3">
        <w:rPr>
          <w:bCs/>
          <w:szCs w:val="22"/>
        </w:rPr>
        <w:t xml:space="preserve"> chemicals shall include a material specification sheet in the packing list</w:t>
      </w:r>
      <w:r>
        <w:rPr>
          <w:bCs/>
          <w:szCs w:val="22"/>
        </w:rPr>
        <w:t>.</w:t>
      </w:r>
    </w:p>
    <w:p w14:paraId="64E55F44" w14:textId="17CD163A" w:rsidR="00775A5A" w:rsidRPr="00F127C3" w:rsidRDefault="00775A5A" w:rsidP="00775A5A">
      <w:pPr>
        <w:pStyle w:val="kj03123"/>
        <w:tabs>
          <w:tab w:val="clear" w:pos="360"/>
          <w:tab w:val="clear" w:pos="1267"/>
          <w:tab w:val="num" w:pos="1260"/>
        </w:tabs>
        <w:rPr>
          <w:b/>
        </w:rPr>
      </w:pPr>
      <w:r w:rsidRPr="00F127C3">
        <w:t>The supplier must state the Country of Origin on both the shipping documentation and on the invoice, in order to comply with all applicable trade regulations where GT conducts business.</w:t>
      </w:r>
      <w:r>
        <w:t xml:space="preserve"> </w:t>
      </w:r>
      <w:r w:rsidRPr="00F127C3">
        <w:t xml:space="preserve"> If the products contain parts and components of various origins, then please supply GT with the predominant origin or a percentage of the product origin breakdown.</w:t>
      </w:r>
    </w:p>
    <w:p w14:paraId="4E84AC69" w14:textId="77777777" w:rsidR="00775A5A" w:rsidRPr="00F127C3" w:rsidRDefault="00775A5A" w:rsidP="00775A5A">
      <w:pPr>
        <w:pStyle w:val="kj03123"/>
        <w:tabs>
          <w:tab w:val="clear" w:pos="360"/>
          <w:tab w:val="clear" w:pos="1267"/>
          <w:tab w:val="num" w:pos="1260"/>
        </w:tabs>
        <w:rPr>
          <w:b/>
        </w:rPr>
      </w:pPr>
      <w:r w:rsidRPr="00F127C3">
        <w:t>Any completed product returned by an OSP (Outside Service Provider) must include the GT router and match up on the receiving paperwork with date of service provided, if initially sent with order.</w:t>
      </w:r>
    </w:p>
    <w:p w14:paraId="52D729E3" w14:textId="0B92AD9C" w:rsidR="00775A5A" w:rsidRPr="00F127C3" w:rsidRDefault="00775A5A" w:rsidP="00775A5A">
      <w:pPr>
        <w:pStyle w:val="kj03123"/>
        <w:tabs>
          <w:tab w:val="clear" w:pos="360"/>
          <w:tab w:val="clear" w:pos="1267"/>
          <w:tab w:val="num" w:pos="1260"/>
        </w:tabs>
        <w:rPr>
          <w:b/>
        </w:rPr>
      </w:pPr>
      <w:r w:rsidRPr="00F127C3">
        <w:t xml:space="preserve">All MRO (Maintenance, Repair, </w:t>
      </w:r>
      <w:r>
        <w:t>and</w:t>
      </w:r>
      <w:r w:rsidRPr="00F127C3">
        <w:t xml:space="preserve"> Operations) contracts must be signed by a company officer.</w:t>
      </w:r>
    </w:p>
    <w:p w14:paraId="236EB8F7" w14:textId="26DB06E5" w:rsidR="00775A5A" w:rsidRPr="00F127C3" w:rsidRDefault="00775A5A" w:rsidP="00775A5A">
      <w:pPr>
        <w:pStyle w:val="kj03123"/>
        <w:tabs>
          <w:tab w:val="clear" w:pos="360"/>
          <w:tab w:val="clear" w:pos="1267"/>
          <w:tab w:val="num" w:pos="1260"/>
        </w:tabs>
        <w:rPr>
          <w:b/>
        </w:rPr>
      </w:pPr>
      <w:r w:rsidRPr="00F127C3">
        <w:t xml:space="preserve">All VMI (Vendor Managed Inventory) contractor quotes </w:t>
      </w:r>
      <w:r>
        <w:t>and</w:t>
      </w:r>
      <w:r w:rsidRPr="00F127C3">
        <w:t xml:space="preserve"> purchase orders must be routed through Supply Chain for approval.</w:t>
      </w:r>
    </w:p>
    <w:p w14:paraId="158752E9" w14:textId="259A5766" w:rsidR="00775A5A" w:rsidRDefault="00775A5A" w:rsidP="00775A5A">
      <w:pPr>
        <w:pStyle w:val="kj03123"/>
        <w:tabs>
          <w:tab w:val="clear" w:pos="360"/>
          <w:tab w:val="clear" w:pos="1267"/>
          <w:tab w:val="num" w:pos="1260"/>
        </w:tabs>
      </w:pPr>
      <w:r w:rsidRPr="00F127C3">
        <w:t xml:space="preserve">All P-card transactions must have ‘attention to’ contact listed on packaging. </w:t>
      </w:r>
      <w:r>
        <w:t xml:space="preserve"> </w:t>
      </w:r>
      <w:r w:rsidRPr="00F127C3">
        <w:t>Please note that any chemicals, adhesives, curatives, fillers, reactors, metals, fibers, plastic pellets, or any other item that can be construed as a ‘chemical substance’ must be procured under a GT purchase order and not a P-card transaction</w:t>
      </w:r>
      <w:r>
        <w:t>.</w:t>
      </w:r>
    </w:p>
    <w:p w14:paraId="2C283D6F" w14:textId="4C99745E" w:rsidR="00AC4EBD" w:rsidRDefault="00A8046A" w:rsidP="00A8046A">
      <w:pPr>
        <w:pStyle w:val="kj0212"/>
        <w:tabs>
          <w:tab w:val="clear" w:pos="360"/>
          <w:tab w:val="clear" w:pos="547"/>
          <w:tab w:val="num" w:pos="540"/>
        </w:tabs>
      </w:pPr>
      <w:bookmarkStart w:id="43" w:name="_Toc161133586"/>
      <w:r>
        <w:t>Packaging, Labeling, and Routing Requirements</w:t>
      </w:r>
      <w:bookmarkEnd w:id="43"/>
    </w:p>
    <w:p w14:paraId="05627036" w14:textId="32927FBD" w:rsidR="00AC4EBD" w:rsidRPr="00A8046A" w:rsidRDefault="00A8046A" w:rsidP="00A8046A">
      <w:pPr>
        <w:pStyle w:val="kj03123"/>
        <w:tabs>
          <w:tab w:val="clear" w:pos="360"/>
          <w:tab w:val="clear" w:pos="1267"/>
          <w:tab w:val="num" w:pos="1260"/>
        </w:tabs>
      </w:pPr>
      <w:r w:rsidRPr="00420EEA">
        <w:rPr>
          <w:bCs/>
          <w:szCs w:val="22"/>
        </w:rPr>
        <w:t xml:space="preserve">All products shipped to GT by a supplier or outside processor must be packaged </w:t>
      </w:r>
      <w:r>
        <w:rPr>
          <w:bCs/>
          <w:szCs w:val="22"/>
        </w:rPr>
        <w:t xml:space="preserve">and </w:t>
      </w:r>
      <w:r w:rsidRPr="00420EEA">
        <w:rPr>
          <w:bCs/>
          <w:szCs w:val="22"/>
        </w:rPr>
        <w:t>transported in a means which will protect it against transit and storage damage, deterioration, contamination, as well as against any other condition that would render the product unfit for its intended purpose</w:t>
      </w:r>
      <w:r>
        <w:rPr>
          <w:bCs/>
          <w:szCs w:val="22"/>
        </w:rPr>
        <w:t>.</w:t>
      </w:r>
    </w:p>
    <w:p w14:paraId="317A294A" w14:textId="5AD0C34E" w:rsidR="00A8046A" w:rsidRPr="00A8046A" w:rsidRDefault="00A8046A" w:rsidP="00A8046A">
      <w:pPr>
        <w:pStyle w:val="kj03123"/>
        <w:tabs>
          <w:tab w:val="clear" w:pos="360"/>
          <w:tab w:val="clear" w:pos="1267"/>
          <w:tab w:val="num" w:pos="1260"/>
        </w:tabs>
      </w:pPr>
      <w:r w:rsidRPr="00420EEA">
        <w:rPr>
          <w:bCs/>
          <w:szCs w:val="22"/>
        </w:rPr>
        <w:t>The packaging shall be designed to protect the product by taking into account the product weight, size, geometry, physical and chemical properties in order to eliminate the potential of being unfit for intended usage</w:t>
      </w:r>
      <w:r>
        <w:rPr>
          <w:bCs/>
          <w:szCs w:val="22"/>
        </w:rPr>
        <w:t>.</w:t>
      </w:r>
    </w:p>
    <w:p w14:paraId="03931EED" w14:textId="527E062C" w:rsidR="00A8046A" w:rsidRPr="00A8046A" w:rsidRDefault="00A8046A" w:rsidP="00A8046A">
      <w:pPr>
        <w:pStyle w:val="kj03123"/>
        <w:tabs>
          <w:tab w:val="clear" w:pos="360"/>
          <w:tab w:val="clear" w:pos="1267"/>
          <w:tab w:val="num" w:pos="1260"/>
        </w:tabs>
      </w:pPr>
      <w:r w:rsidRPr="00420EEA">
        <w:rPr>
          <w:bCs/>
          <w:szCs w:val="22"/>
        </w:rPr>
        <w:t>Metal components and soft materials (such as PTFE) specifically shall not be packaged loosely or in a way which could cause damage in transit from parts coming in contact with each other, such method may include individual use wrapping, boxing, tubing, or egg crating of parts</w:t>
      </w:r>
      <w:r>
        <w:rPr>
          <w:bCs/>
          <w:szCs w:val="22"/>
        </w:rPr>
        <w:t>.</w:t>
      </w:r>
    </w:p>
    <w:p w14:paraId="1C5ABF3A" w14:textId="56A68841" w:rsidR="00A8046A" w:rsidRPr="00A8046A" w:rsidRDefault="00A8046A" w:rsidP="00A8046A">
      <w:pPr>
        <w:pStyle w:val="kj03123"/>
        <w:tabs>
          <w:tab w:val="clear" w:pos="360"/>
          <w:tab w:val="clear" w:pos="1267"/>
          <w:tab w:val="num" w:pos="1260"/>
        </w:tabs>
      </w:pPr>
      <w:r w:rsidRPr="00420EEA">
        <w:rPr>
          <w:bCs/>
          <w:szCs w:val="22"/>
        </w:rPr>
        <w:t>Additional packaging requirements may be required per the purchase order or engineering drawing</w:t>
      </w:r>
      <w:r>
        <w:rPr>
          <w:bCs/>
          <w:szCs w:val="22"/>
        </w:rPr>
        <w:t>.</w:t>
      </w:r>
    </w:p>
    <w:p w14:paraId="42023E80" w14:textId="71A2AC2D" w:rsidR="00A8046A" w:rsidRDefault="00A8046A" w:rsidP="00A8046A">
      <w:pPr>
        <w:pStyle w:val="kj03123"/>
        <w:tabs>
          <w:tab w:val="clear" w:pos="360"/>
          <w:tab w:val="clear" w:pos="1267"/>
          <w:tab w:val="num" w:pos="1260"/>
        </w:tabs>
      </w:pPr>
      <w:r w:rsidRPr="00420EEA">
        <w:rPr>
          <w:bCs/>
          <w:szCs w:val="22"/>
        </w:rPr>
        <w:t>A supplier label shall be applied to each package shipped to a GT facility with all label information legible and readable.</w:t>
      </w:r>
      <w:r>
        <w:rPr>
          <w:bCs/>
          <w:szCs w:val="22"/>
        </w:rPr>
        <w:t xml:space="preserve"> </w:t>
      </w:r>
      <w:r w:rsidRPr="00420EEA">
        <w:rPr>
          <w:bCs/>
          <w:szCs w:val="22"/>
        </w:rPr>
        <w:t xml:space="preserve"> Each package should be segregated by both part number and batch/lot code, not mixing multiple batch/lots or part numbers in the same package. </w:t>
      </w:r>
      <w:r>
        <w:rPr>
          <w:bCs/>
          <w:szCs w:val="22"/>
        </w:rPr>
        <w:t xml:space="preserve"> </w:t>
      </w:r>
      <w:r w:rsidRPr="00420EEA">
        <w:rPr>
          <w:bCs/>
          <w:szCs w:val="22"/>
        </w:rPr>
        <w:t>Each label must contain the following information</w:t>
      </w:r>
      <w:r>
        <w:rPr>
          <w:bCs/>
          <w:szCs w:val="22"/>
        </w:rPr>
        <w:t>:</w:t>
      </w:r>
    </w:p>
    <w:p w14:paraId="60500822" w14:textId="598CF6B7" w:rsidR="00AC4EBD" w:rsidRPr="00A8046A" w:rsidRDefault="00A8046A" w:rsidP="00A8046A">
      <w:pPr>
        <w:pStyle w:val="kj041234"/>
        <w:ind w:hanging="1080"/>
      </w:pPr>
      <w:r w:rsidRPr="00420EEA">
        <w:rPr>
          <w:rFonts w:cs="Arial"/>
          <w:bCs/>
          <w:szCs w:val="22"/>
        </w:rPr>
        <w:t xml:space="preserve">GT part number </w:t>
      </w:r>
      <w:r w:rsidR="00694C95">
        <w:rPr>
          <w:rFonts w:cs="Arial"/>
          <w:bCs/>
          <w:szCs w:val="22"/>
        </w:rPr>
        <w:t>and</w:t>
      </w:r>
      <w:r w:rsidRPr="00420EEA">
        <w:rPr>
          <w:rFonts w:cs="Arial"/>
          <w:bCs/>
          <w:szCs w:val="22"/>
        </w:rPr>
        <w:t xml:space="preserve"> revision</w:t>
      </w:r>
      <w:r>
        <w:rPr>
          <w:rFonts w:cs="Arial"/>
          <w:bCs/>
          <w:szCs w:val="22"/>
        </w:rPr>
        <w:t xml:space="preserve"> level</w:t>
      </w:r>
    </w:p>
    <w:p w14:paraId="3016C1DD" w14:textId="3FBD3404" w:rsidR="00A8046A" w:rsidRDefault="00A8046A" w:rsidP="00A8046A">
      <w:pPr>
        <w:pStyle w:val="kj041234"/>
        <w:ind w:hanging="1080"/>
      </w:pPr>
      <w:r>
        <w:rPr>
          <w:rFonts w:cs="Arial"/>
          <w:bCs/>
          <w:szCs w:val="22"/>
        </w:rPr>
        <w:t>GT purchase order/contract number</w:t>
      </w:r>
    </w:p>
    <w:p w14:paraId="5D02C60E" w14:textId="77777777" w:rsidR="00A8046A" w:rsidRDefault="001D5FBA" w:rsidP="00A8046A">
      <w:hyperlink w:anchor="TableOfContents" w:history="1">
        <w:r w:rsidR="00A8046A" w:rsidRPr="00066290">
          <w:rPr>
            <w:rStyle w:val="Hyperlink"/>
            <w:rFonts w:cs="Arial"/>
            <w:sz w:val="16"/>
            <w:szCs w:val="14"/>
          </w:rPr>
          <w:t>Return to Table of Contents</w:t>
        </w:r>
      </w:hyperlink>
      <w:r w:rsidR="00A8046A">
        <w:br w:type="page"/>
      </w:r>
    </w:p>
    <w:p w14:paraId="36272D6B" w14:textId="6759CFDD" w:rsidR="00AC4EBD" w:rsidRPr="00A8046A" w:rsidRDefault="00A8046A" w:rsidP="00A8046A">
      <w:pPr>
        <w:pStyle w:val="kj041234"/>
        <w:ind w:hanging="1080"/>
      </w:pPr>
      <w:r w:rsidRPr="00420EEA">
        <w:rPr>
          <w:rFonts w:cs="Arial"/>
          <w:bCs/>
          <w:szCs w:val="22"/>
        </w:rPr>
        <w:t xml:space="preserve">Quantity </w:t>
      </w:r>
      <w:r>
        <w:rPr>
          <w:rFonts w:cs="Arial"/>
          <w:bCs/>
          <w:szCs w:val="22"/>
        </w:rPr>
        <w:t>and</w:t>
      </w:r>
      <w:r w:rsidRPr="00420EEA">
        <w:rPr>
          <w:rFonts w:cs="Arial"/>
          <w:bCs/>
          <w:szCs w:val="22"/>
        </w:rPr>
        <w:t xml:space="preserve"> unit of</w:t>
      </w:r>
      <w:r>
        <w:rPr>
          <w:rFonts w:cs="Arial"/>
          <w:bCs/>
          <w:szCs w:val="22"/>
        </w:rPr>
        <w:t xml:space="preserve"> measure</w:t>
      </w:r>
    </w:p>
    <w:p w14:paraId="35F8ED9C" w14:textId="339A765C" w:rsidR="00A8046A" w:rsidRPr="00A8046A" w:rsidRDefault="00A8046A" w:rsidP="00A8046A">
      <w:pPr>
        <w:pStyle w:val="kj041234"/>
        <w:ind w:hanging="1080"/>
      </w:pPr>
      <w:r>
        <w:rPr>
          <w:rFonts w:cs="Arial"/>
          <w:bCs/>
          <w:szCs w:val="22"/>
        </w:rPr>
        <w:t>Part Description</w:t>
      </w:r>
    </w:p>
    <w:p w14:paraId="7F4F3987" w14:textId="1AF67BB3" w:rsidR="00A8046A" w:rsidRPr="00A8046A" w:rsidRDefault="00A8046A" w:rsidP="00A8046A">
      <w:pPr>
        <w:pStyle w:val="kj041234"/>
        <w:ind w:hanging="1080"/>
      </w:pPr>
      <w:r>
        <w:rPr>
          <w:rFonts w:cs="Arial"/>
          <w:bCs/>
          <w:szCs w:val="22"/>
        </w:rPr>
        <w:t>Batch/lot number and manufactur</w:t>
      </w:r>
      <w:r w:rsidR="0076044D">
        <w:rPr>
          <w:rFonts w:cs="Arial"/>
          <w:bCs/>
          <w:szCs w:val="22"/>
        </w:rPr>
        <w:t>e</w:t>
      </w:r>
      <w:r>
        <w:rPr>
          <w:rFonts w:cs="Arial"/>
          <w:bCs/>
          <w:szCs w:val="22"/>
        </w:rPr>
        <w:t xml:space="preserve"> date</w:t>
      </w:r>
    </w:p>
    <w:p w14:paraId="105A8180" w14:textId="426650B0" w:rsidR="00A8046A" w:rsidRPr="00A8046A" w:rsidRDefault="00A8046A" w:rsidP="00A8046A">
      <w:pPr>
        <w:pStyle w:val="kj041234"/>
        <w:ind w:hanging="1080"/>
      </w:pPr>
      <w:r w:rsidRPr="00420EEA">
        <w:rPr>
          <w:rFonts w:cs="Arial"/>
          <w:bCs/>
          <w:szCs w:val="22"/>
        </w:rPr>
        <w:t xml:space="preserve">Supplier name </w:t>
      </w:r>
      <w:r w:rsidR="00694C95">
        <w:rPr>
          <w:rFonts w:cs="Arial"/>
          <w:bCs/>
          <w:szCs w:val="22"/>
        </w:rPr>
        <w:t>and</w:t>
      </w:r>
      <w:r w:rsidRPr="00420EEA">
        <w:rPr>
          <w:rFonts w:cs="Arial"/>
          <w:bCs/>
          <w:szCs w:val="22"/>
        </w:rPr>
        <w:t xml:space="preserve"> manufacturing address (including Country of Origin, or predominant origin</w:t>
      </w:r>
      <w:r>
        <w:rPr>
          <w:rFonts w:cs="Arial"/>
          <w:bCs/>
          <w:szCs w:val="22"/>
        </w:rPr>
        <w:t>)</w:t>
      </w:r>
    </w:p>
    <w:p w14:paraId="2C2CCED4" w14:textId="7C73BB40" w:rsidR="00A8046A" w:rsidRPr="00A8046A" w:rsidRDefault="00A8046A" w:rsidP="00A8046A">
      <w:pPr>
        <w:pStyle w:val="kj041234"/>
        <w:ind w:hanging="1080"/>
      </w:pPr>
      <w:r>
        <w:rPr>
          <w:rFonts w:cs="Arial"/>
          <w:bCs/>
          <w:szCs w:val="22"/>
        </w:rPr>
        <w:t>GT receiving facility address</w:t>
      </w:r>
    </w:p>
    <w:p w14:paraId="7A92B755" w14:textId="094C6682" w:rsidR="00A8046A" w:rsidRDefault="00A8046A" w:rsidP="00A8046A">
      <w:pPr>
        <w:pStyle w:val="kj041234"/>
        <w:ind w:hanging="1080"/>
      </w:pPr>
      <w:r w:rsidRPr="00420EEA">
        <w:rPr>
          <w:rFonts w:cs="Arial"/>
          <w:bCs/>
          <w:szCs w:val="22"/>
        </w:rPr>
        <w:t>Packing List requirements as required per the purchase</w:t>
      </w:r>
      <w:r>
        <w:rPr>
          <w:rFonts w:cs="Arial"/>
          <w:bCs/>
          <w:szCs w:val="22"/>
        </w:rPr>
        <w:t xml:space="preserve"> order</w:t>
      </w:r>
    </w:p>
    <w:p w14:paraId="58480739" w14:textId="58119AE0" w:rsidR="00AC4EBD" w:rsidRPr="008D14B7" w:rsidRDefault="008D14B7" w:rsidP="00A8046A">
      <w:pPr>
        <w:pStyle w:val="kj03123"/>
        <w:tabs>
          <w:tab w:val="clear" w:pos="360"/>
          <w:tab w:val="clear" w:pos="1267"/>
          <w:tab w:val="num" w:pos="1260"/>
        </w:tabs>
      </w:pPr>
      <w:r w:rsidRPr="00420EEA">
        <w:rPr>
          <w:bCs/>
          <w:szCs w:val="22"/>
        </w:rPr>
        <w:t>Packages drop shipped to locations other than GT facilities will need to follow instructions as given by the GT purchase order</w:t>
      </w:r>
      <w:r>
        <w:rPr>
          <w:bCs/>
          <w:szCs w:val="22"/>
        </w:rPr>
        <w:t>.</w:t>
      </w:r>
    </w:p>
    <w:p w14:paraId="6B322350" w14:textId="0001DCAE" w:rsidR="008D14B7" w:rsidRPr="008D14B7" w:rsidRDefault="008D14B7" w:rsidP="00A8046A">
      <w:pPr>
        <w:pStyle w:val="kj03123"/>
        <w:tabs>
          <w:tab w:val="clear" w:pos="360"/>
          <w:tab w:val="clear" w:pos="1267"/>
          <w:tab w:val="num" w:pos="1260"/>
        </w:tabs>
      </w:pPr>
      <w:r w:rsidRPr="00420EEA">
        <w:rPr>
          <w:bCs/>
          <w:szCs w:val="22"/>
        </w:rPr>
        <w:t>Be aware that any expedited shipment methods which would be charged at GT’s expense require written authorization by GT Supply Chain prior to shipping</w:t>
      </w:r>
      <w:r>
        <w:rPr>
          <w:bCs/>
          <w:szCs w:val="22"/>
        </w:rPr>
        <w:t>.</w:t>
      </w:r>
    </w:p>
    <w:p w14:paraId="3BFEF895" w14:textId="6F711EE0" w:rsidR="008D14B7" w:rsidRPr="008D14B7" w:rsidRDefault="008D14B7" w:rsidP="00A8046A">
      <w:pPr>
        <w:pStyle w:val="kj03123"/>
        <w:tabs>
          <w:tab w:val="clear" w:pos="360"/>
          <w:tab w:val="clear" w:pos="1267"/>
          <w:tab w:val="num" w:pos="1260"/>
        </w:tabs>
      </w:pPr>
      <w:r w:rsidRPr="00420EEA">
        <w:rPr>
          <w:bCs/>
          <w:szCs w:val="22"/>
        </w:rPr>
        <w:t xml:space="preserve">The GT Supplier Routing Guide details the requirements that suppliers must follow to ship material to GT locations and to our subsidiaries. </w:t>
      </w:r>
      <w:r>
        <w:rPr>
          <w:bCs/>
          <w:szCs w:val="22"/>
        </w:rPr>
        <w:t xml:space="preserve"> </w:t>
      </w:r>
      <w:r w:rsidRPr="00420EEA">
        <w:rPr>
          <w:bCs/>
          <w:szCs w:val="22"/>
        </w:rPr>
        <w:t>This Supplier Routing Guide affects all suppliers that do business with GT and affects any product that could be shipped to any GT facility, Third party location or direct shipment.</w:t>
      </w:r>
      <w:r>
        <w:rPr>
          <w:bCs/>
          <w:szCs w:val="22"/>
        </w:rPr>
        <w:t xml:space="preserve"> </w:t>
      </w:r>
      <w:r w:rsidRPr="00420EEA">
        <w:rPr>
          <w:bCs/>
          <w:szCs w:val="22"/>
        </w:rPr>
        <w:t xml:space="preserve"> It is the responsibility of the supplier to ensure they have the most up to date version on hand and that it’s followed by the necessary department. </w:t>
      </w:r>
      <w:r>
        <w:rPr>
          <w:bCs/>
          <w:szCs w:val="22"/>
        </w:rPr>
        <w:t xml:space="preserve"> </w:t>
      </w:r>
      <w:r w:rsidRPr="00420EEA">
        <w:rPr>
          <w:bCs/>
          <w:szCs w:val="22"/>
        </w:rPr>
        <w:t xml:space="preserve">The Supplier Routing Guide includes updated details on GT receiving locations, GT logistics </w:t>
      </w:r>
      <w:r>
        <w:rPr>
          <w:bCs/>
          <w:szCs w:val="22"/>
        </w:rPr>
        <w:t>and</w:t>
      </w:r>
      <w:r w:rsidRPr="00420EEA">
        <w:rPr>
          <w:bCs/>
          <w:szCs w:val="22"/>
        </w:rPr>
        <w:t xml:space="preserve"> customs brokerage contacts, and transportation routing instruction</w:t>
      </w:r>
      <w:r>
        <w:rPr>
          <w:bCs/>
          <w:szCs w:val="22"/>
        </w:rPr>
        <w:t>.</w:t>
      </w:r>
    </w:p>
    <w:p w14:paraId="7F30EDB3" w14:textId="77BCEEA6" w:rsidR="00AC4EBD" w:rsidRDefault="00C116D9" w:rsidP="004E6962">
      <w:pPr>
        <w:pStyle w:val="kj03123"/>
        <w:tabs>
          <w:tab w:val="clear" w:pos="360"/>
          <w:tab w:val="clear" w:pos="1267"/>
          <w:tab w:val="num" w:pos="1260"/>
        </w:tabs>
        <w:rPr>
          <w:rFonts w:cs="Arial"/>
        </w:rPr>
      </w:pPr>
      <w:r w:rsidRPr="00865577">
        <mc:AlternateContent>
          <mc:Choice Requires="wps">
            <w:drawing>
              <wp:anchor distT="45720" distB="45720" distL="114300" distR="114300" simplePos="0" relativeHeight="251701248" behindDoc="0" locked="0" layoutInCell="1" allowOverlap="1" wp14:anchorId="4B16AA72" wp14:editId="1FA24FE7">
                <wp:simplePos x="0" y="0"/>
                <wp:positionH relativeFrom="column">
                  <wp:posOffset>-409575</wp:posOffset>
                </wp:positionH>
                <wp:positionV relativeFrom="paragraph">
                  <wp:posOffset>404495</wp:posOffset>
                </wp:positionV>
                <wp:extent cx="365760" cy="1404620"/>
                <wp:effectExtent l="0" t="0" r="0" b="8890"/>
                <wp:wrapNone/>
                <wp:docPr id="10391407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404620"/>
                        </a:xfrm>
                        <a:prstGeom prst="rect">
                          <a:avLst/>
                        </a:prstGeom>
                        <a:solidFill>
                          <a:srgbClr val="FFFFFF"/>
                        </a:solidFill>
                        <a:ln w="9525">
                          <a:noFill/>
                          <a:miter lim="800000"/>
                          <a:headEnd/>
                          <a:tailEnd/>
                        </a:ln>
                      </wps:spPr>
                      <wps:txbx>
                        <w:txbxContent>
                          <w:p w14:paraId="5052EAA2" w14:textId="77777777" w:rsidR="00752910" w:rsidRPr="006659B4" w:rsidRDefault="00752910" w:rsidP="00752910">
                            <w:pPr>
                              <w:tabs>
                                <w:tab w:val="left" w:pos="187"/>
                                <w:tab w:val="left" w:pos="547"/>
                                <w:tab w:val="left" w:pos="1267"/>
                                <w:tab w:val="left" w:pos="2160"/>
                                <w:tab w:val="left" w:pos="3240"/>
                                <w:tab w:val="left" w:pos="4320"/>
                                <w:tab w:val="left" w:pos="5760"/>
                                <w:tab w:val="left" w:pos="7387"/>
                              </w:tabs>
                              <w:jc w:val="right"/>
                              <w:rPr>
                                <w:rFonts w:cs="Arial"/>
                              </w:rPr>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16AA72" id="_x0000_s1040" type="#_x0000_t202" style="position:absolute;left:0;text-align:left;margin-left:-32.25pt;margin-top:31.85pt;width:28.8pt;height:110.6pt;z-index:251701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ws0EgIAAP4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" stroked="f">
                <v:textbox style="mso-fit-shape-to-text:t">
                  <w:txbxContent>
                    <w:p w14:paraId="5052EAA2" w14:textId="77777777" w:rsidR="00752910" w:rsidRPr="006659B4" w:rsidRDefault="00752910" w:rsidP="00752910">
                      <w:pPr>
                        <w:tabs>
                          <w:tab w:val="left" w:pos="187"/>
                          <w:tab w:val="left" w:pos="547"/>
                          <w:tab w:val="left" w:pos="1267"/>
                          <w:tab w:val="left" w:pos="2160"/>
                          <w:tab w:val="left" w:pos="3240"/>
                          <w:tab w:val="left" w:pos="4320"/>
                          <w:tab w:val="left" w:pos="5760"/>
                          <w:tab w:val="left" w:pos="7387"/>
                        </w:tabs>
                        <w:jc w:val="right"/>
                        <w:rPr>
                          <w:rFonts w:cs="Arial"/>
                        </w:rPr>
                      </w:pPr>
                      <w:r>
                        <w:t>|</w:t>
                      </w:r>
                    </w:p>
                  </w:txbxContent>
                </v:textbox>
              </v:shape>
            </w:pict>
          </mc:Fallback>
        </mc:AlternateContent>
      </w:r>
      <w:r w:rsidR="008D14B7" w:rsidRPr="00DA58A2">
        <w:rPr>
          <w:bCs/>
          <w:szCs w:val="22"/>
        </w:rPr>
        <w:t xml:space="preserve">The latest release Supplier Routing Guide is available via the </w:t>
      </w:r>
      <w:r w:rsidR="00DA58A2" w:rsidRPr="00DA58A2">
        <w:rPr>
          <w:bCs/>
          <w:szCs w:val="22"/>
        </w:rPr>
        <w:t>GT</w:t>
      </w:r>
      <w:r w:rsidR="008D14B7" w:rsidRPr="00DA58A2">
        <w:rPr>
          <w:bCs/>
          <w:szCs w:val="22"/>
        </w:rPr>
        <w:t xml:space="preserve"> external web</w:t>
      </w:r>
      <w:r w:rsidR="00DA58A2" w:rsidRPr="00DA58A2">
        <w:rPr>
          <w:bCs/>
          <w:szCs w:val="22"/>
        </w:rPr>
        <w:t xml:space="preserve">site:  </w:t>
      </w:r>
      <w:r w:rsidR="008D14B7" w:rsidRPr="00DA58A2">
        <w:rPr>
          <w:bCs/>
          <w:szCs w:val="22"/>
        </w:rPr>
        <w:t>https://</w:t>
      </w:r>
      <w:hyperlink r:id="rId27">
        <w:r w:rsidR="008D14B7" w:rsidRPr="00DA58A2">
          <w:rPr>
            <w:bCs/>
            <w:szCs w:val="22"/>
          </w:rPr>
          <w:t>www.gtweed.com/supplier-information/</w:t>
        </w:r>
      </w:hyperlink>
    </w:p>
    <w:p w14:paraId="3327E6D7" w14:textId="76FD8AA6" w:rsidR="00DA58A2" w:rsidRPr="00066290" w:rsidRDefault="00DA58A2" w:rsidP="00DA58A2">
      <w:pPr>
        <w:pStyle w:val="kj0010"/>
        <w:tabs>
          <w:tab w:val="clear" w:pos="360"/>
        </w:tabs>
        <w:rPr>
          <w:rFonts w:cs="Arial"/>
        </w:rPr>
      </w:pPr>
      <w:bookmarkStart w:id="44" w:name="_Toc161133587"/>
      <w:r>
        <w:rPr>
          <w:rFonts w:cs="Arial"/>
        </w:rPr>
        <w:t>Quality</w:t>
      </w:r>
      <w:bookmarkEnd w:id="44"/>
    </w:p>
    <w:p w14:paraId="66FAC188" w14:textId="69387A59" w:rsidR="00AC4EBD" w:rsidRPr="00C116D9" w:rsidRDefault="00C116D9" w:rsidP="00C116D9">
      <w:pPr>
        <w:pStyle w:val="kj0010TextOnly"/>
      </w:pPr>
      <w:r w:rsidRPr="00C116D9">
        <w:t xml:space="preserve">Suppliers are not required to have a certified Quality Management System (QMS) identified in Section </w:t>
      </w:r>
      <w:r>
        <w:fldChar w:fldCharType="begin"/>
      </w:r>
      <w:r>
        <w:instrText xml:space="preserve"> REF _Ref161043136 \r \h </w:instrText>
      </w:r>
      <w:r>
        <w:fldChar w:fldCharType="separate"/>
      </w:r>
      <w:r>
        <w:t>2.6</w:t>
      </w:r>
      <w:r>
        <w:fldChar w:fldCharType="end"/>
      </w:r>
      <w:r>
        <w:t xml:space="preserve"> </w:t>
      </w:r>
      <w:r w:rsidRPr="00C116D9">
        <w:t xml:space="preserve">but may be required for products or services provided to GT as stated in contracts or PO’s. </w:t>
      </w:r>
      <w:r>
        <w:t xml:space="preserve"> </w:t>
      </w:r>
      <w:r w:rsidRPr="00C116D9">
        <w:t xml:space="preserve">However, they are expected to have in their </w:t>
      </w:r>
      <w:proofErr w:type="gramStart"/>
      <w:r w:rsidRPr="00C116D9">
        <w:t>QMS,</w:t>
      </w:r>
      <w:proofErr w:type="gramEnd"/>
      <w:r w:rsidRPr="00C116D9">
        <w:t xml:space="preserve"> practices, processes, and procedures that adhere to the expectations detailed in this handbook to be a GT supplier. </w:t>
      </w:r>
      <w:r>
        <w:t xml:space="preserve"> </w:t>
      </w:r>
      <w:r w:rsidRPr="00C116D9">
        <w:t>Any questions on requirements or expectations should be directed to GT Supply Chain (Procurement) leadership</w:t>
      </w:r>
      <w:r w:rsidR="00752910" w:rsidRPr="00C116D9">
        <w:t>.</w:t>
      </w:r>
    </w:p>
    <w:p w14:paraId="2A108043" w14:textId="2E2FB704" w:rsidR="00AC4EBD" w:rsidRDefault="00752910" w:rsidP="00752910">
      <w:pPr>
        <w:pStyle w:val="kj0212"/>
        <w:tabs>
          <w:tab w:val="clear" w:pos="360"/>
          <w:tab w:val="clear" w:pos="547"/>
          <w:tab w:val="num" w:pos="540"/>
        </w:tabs>
      </w:pPr>
      <w:bookmarkStart w:id="45" w:name="_Toc161133588"/>
      <w:r>
        <w:t>Change Notifications</w:t>
      </w:r>
      <w:bookmarkEnd w:id="45"/>
    </w:p>
    <w:p w14:paraId="69F664AA" w14:textId="72E18F93" w:rsidR="00AC4EBD" w:rsidRPr="00752910" w:rsidRDefault="00752910" w:rsidP="00752910">
      <w:pPr>
        <w:pStyle w:val="kj03123"/>
        <w:tabs>
          <w:tab w:val="clear" w:pos="360"/>
          <w:tab w:val="clear" w:pos="1267"/>
          <w:tab w:val="num" w:pos="1260"/>
        </w:tabs>
      </w:pPr>
      <w:r w:rsidRPr="00420EEA">
        <w:rPr>
          <w:bCs/>
          <w:szCs w:val="22"/>
        </w:rPr>
        <w:t xml:space="preserve">If there is a change to the suppliers manufacturing location, utilized equipment, design, raw material composition or properties, sub-tier supplier or processing provider, then GT’s Supply Chain needs to be informed of the details in writing with the maximum amount of time possible, not less than 12 months before such change is implemented. </w:t>
      </w:r>
      <w:r>
        <w:rPr>
          <w:bCs/>
          <w:szCs w:val="22"/>
        </w:rPr>
        <w:t xml:space="preserve"> </w:t>
      </w:r>
      <w:r w:rsidRPr="00420EEA">
        <w:rPr>
          <w:bCs/>
          <w:szCs w:val="22"/>
        </w:rPr>
        <w:t>The details and justification for the change are to be documented and submitted to your GT Supply Chain Sourcing and/or Procurement Specialist for internal routing and approval</w:t>
      </w:r>
      <w:r>
        <w:rPr>
          <w:bCs/>
          <w:szCs w:val="22"/>
        </w:rPr>
        <w:t>.</w:t>
      </w:r>
    </w:p>
    <w:p w14:paraId="12F310E3" w14:textId="18357C8A" w:rsidR="00752910" w:rsidRPr="00752910" w:rsidRDefault="00752910" w:rsidP="00752910">
      <w:pPr>
        <w:pStyle w:val="kj03123"/>
        <w:tabs>
          <w:tab w:val="clear" w:pos="360"/>
          <w:tab w:val="clear" w:pos="1267"/>
          <w:tab w:val="num" w:pos="1260"/>
        </w:tabs>
      </w:pPr>
      <w:r w:rsidRPr="00420EEA">
        <w:rPr>
          <w:bCs/>
          <w:szCs w:val="22"/>
        </w:rPr>
        <w:t>Suppliers shall notify GT of any changes to their QMS certification status including any loss of certification or decision not to renew, and to provide updated copies of certifications upon completion of renewal</w:t>
      </w:r>
      <w:r>
        <w:rPr>
          <w:bCs/>
          <w:szCs w:val="22"/>
        </w:rPr>
        <w:t>.</w:t>
      </w:r>
    </w:p>
    <w:p w14:paraId="6EF2574C" w14:textId="2AE46498" w:rsidR="00752910" w:rsidRPr="00752910" w:rsidRDefault="00752910" w:rsidP="00752910">
      <w:pPr>
        <w:pStyle w:val="kj03123"/>
        <w:tabs>
          <w:tab w:val="clear" w:pos="360"/>
          <w:tab w:val="clear" w:pos="1267"/>
          <w:tab w:val="num" w:pos="1260"/>
        </w:tabs>
      </w:pPr>
      <w:r w:rsidRPr="00420EEA">
        <w:rPr>
          <w:bCs/>
          <w:szCs w:val="22"/>
        </w:rPr>
        <w:t>Notification must take place within 30 days of the prior QMS certification lapse</w:t>
      </w:r>
      <w:r>
        <w:rPr>
          <w:bCs/>
          <w:szCs w:val="22"/>
        </w:rPr>
        <w:t>.</w:t>
      </w:r>
    </w:p>
    <w:p w14:paraId="24611C6A" w14:textId="36F5FCC2" w:rsidR="00752910" w:rsidRDefault="00752910" w:rsidP="00752910">
      <w:pPr>
        <w:pStyle w:val="kj03123"/>
        <w:tabs>
          <w:tab w:val="clear" w:pos="360"/>
          <w:tab w:val="clear" w:pos="1267"/>
          <w:tab w:val="num" w:pos="1260"/>
        </w:tabs>
      </w:pPr>
      <w:r w:rsidRPr="00420EEA">
        <w:rPr>
          <w:bCs/>
          <w:szCs w:val="22"/>
        </w:rPr>
        <w:t xml:space="preserve">Suppliers shall notify GT if their company is acquired or merged with another business entity that results in a change of name and date of effectivity. </w:t>
      </w:r>
      <w:r>
        <w:rPr>
          <w:bCs/>
          <w:szCs w:val="22"/>
        </w:rPr>
        <w:t xml:space="preserve"> </w:t>
      </w:r>
      <w:r w:rsidRPr="00420EEA">
        <w:rPr>
          <w:bCs/>
          <w:szCs w:val="22"/>
        </w:rPr>
        <w:t xml:space="preserve">Repercussions to current GT business should be detailed as applicable. </w:t>
      </w:r>
      <w:r>
        <w:rPr>
          <w:bCs/>
          <w:szCs w:val="22"/>
        </w:rPr>
        <w:t xml:space="preserve"> </w:t>
      </w:r>
      <w:r w:rsidRPr="00420EEA">
        <w:rPr>
          <w:bCs/>
          <w:szCs w:val="22"/>
        </w:rPr>
        <w:t>Suppliers shall notify GT if they change payment methods (bank accounts, TIN, etc</w:t>
      </w:r>
      <w:r>
        <w:rPr>
          <w:bCs/>
          <w:szCs w:val="22"/>
        </w:rPr>
        <w:t>.)</w:t>
      </w:r>
    </w:p>
    <w:p w14:paraId="72957246" w14:textId="5179440A" w:rsidR="00AC4EBD" w:rsidRDefault="003D6B28" w:rsidP="003D6B28">
      <w:pPr>
        <w:pStyle w:val="kj0212"/>
        <w:tabs>
          <w:tab w:val="clear" w:pos="360"/>
          <w:tab w:val="clear" w:pos="547"/>
          <w:tab w:val="num" w:pos="540"/>
        </w:tabs>
      </w:pPr>
      <w:bookmarkStart w:id="46" w:name="_Toc161133589"/>
      <w:r>
        <w:t>Chemical Substances, Adhesives, and Other Shelf-Life Materials</w:t>
      </w:r>
      <w:bookmarkEnd w:id="46"/>
    </w:p>
    <w:p w14:paraId="7EF776CE" w14:textId="1789E02A" w:rsidR="00AC4EBD" w:rsidRDefault="004A40FB" w:rsidP="004A40FB">
      <w:pPr>
        <w:pStyle w:val="kj03123"/>
      </w:pPr>
      <w:r w:rsidRPr="00420EEA">
        <w:rPr>
          <w:bCs/>
          <w:szCs w:val="22"/>
        </w:rPr>
        <w:t xml:space="preserve">All shelf-life material shall be permanently marked on the container </w:t>
      </w:r>
      <w:r>
        <w:rPr>
          <w:bCs/>
          <w:szCs w:val="22"/>
        </w:rPr>
        <w:t>and</w:t>
      </w:r>
      <w:r w:rsidRPr="00420EEA">
        <w:rPr>
          <w:bCs/>
          <w:szCs w:val="22"/>
        </w:rPr>
        <w:t>/or packaging with the following information</w:t>
      </w:r>
      <w:r>
        <w:rPr>
          <w:bCs/>
          <w:szCs w:val="22"/>
        </w:rPr>
        <w:t>:</w:t>
      </w:r>
    </w:p>
    <w:p w14:paraId="33C62761" w14:textId="0A6C8DAA" w:rsidR="00AC4EBD" w:rsidRPr="004A40FB" w:rsidRDefault="004A40FB" w:rsidP="004A40FB">
      <w:pPr>
        <w:pStyle w:val="kj041234"/>
        <w:ind w:hanging="1080"/>
      </w:pPr>
      <w:r w:rsidRPr="00420EEA">
        <w:rPr>
          <w:rFonts w:cs="Arial"/>
          <w:bCs/>
          <w:szCs w:val="22"/>
        </w:rPr>
        <w:t>Lot traceability identification</w:t>
      </w:r>
    </w:p>
    <w:p w14:paraId="7880F480" w14:textId="401C94A1" w:rsidR="004A40FB" w:rsidRPr="004A40FB" w:rsidRDefault="004A40FB" w:rsidP="004A40FB">
      <w:pPr>
        <w:pStyle w:val="kj041234"/>
        <w:ind w:hanging="1080"/>
      </w:pPr>
      <w:r w:rsidRPr="00420EEA">
        <w:rPr>
          <w:rFonts w:cs="Arial"/>
          <w:bCs/>
          <w:szCs w:val="22"/>
        </w:rPr>
        <w:t>Date of expiration or best if used by</w:t>
      </w:r>
      <w:r>
        <w:rPr>
          <w:rFonts w:cs="Arial"/>
          <w:bCs/>
          <w:szCs w:val="22"/>
        </w:rPr>
        <w:t xml:space="preserve"> date</w:t>
      </w:r>
    </w:p>
    <w:p w14:paraId="4E7B43A8" w14:textId="798DBC4E" w:rsidR="004A40FB" w:rsidRDefault="004A40FB" w:rsidP="004A40FB">
      <w:pPr>
        <w:pStyle w:val="kj041234"/>
        <w:ind w:hanging="1080"/>
      </w:pPr>
      <w:r w:rsidRPr="00420EEA">
        <w:rPr>
          <w:rFonts w:cs="Arial"/>
          <w:bCs/>
          <w:szCs w:val="22"/>
        </w:rPr>
        <w:t>Any storage conditions to achieve shelf life, if not stated on material</w:t>
      </w:r>
      <w:r>
        <w:rPr>
          <w:rFonts w:cs="Arial"/>
          <w:bCs/>
          <w:szCs w:val="22"/>
        </w:rPr>
        <w:t xml:space="preserve"> package</w:t>
      </w:r>
    </w:p>
    <w:p w14:paraId="7440D2EB" w14:textId="10006B3C" w:rsidR="00AC4EBD" w:rsidRPr="004A40FB" w:rsidRDefault="004A40FB" w:rsidP="004A40FB">
      <w:pPr>
        <w:pStyle w:val="kj03123"/>
        <w:tabs>
          <w:tab w:val="clear" w:pos="360"/>
          <w:tab w:val="clear" w:pos="1267"/>
          <w:tab w:val="num" w:pos="1260"/>
        </w:tabs>
      </w:pPr>
      <w:r w:rsidRPr="00420EEA">
        <w:rPr>
          <w:bCs/>
          <w:szCs w:val="22"/>
        </w:rPr>
        <w:t xml:space="preserve">Upon receipt at GT, any shelf-life material must have greater than the specified minimum amount of life remaining as identified in the GT specification or purchase order. </w:t>
      </w:r>
      <w:r>
        <w:rPr>
          <w:bCs/>
          <w:szCs w:val="22"/>
        </w:rPr>
        <w:t xml:space="preserve"> </w:t>
      </w:r>
      <w:r w:rsidRPr="00420EEA">
        <w:rPr>
          <w:bCs/>
          <w:szCs w:val="22"/>
        </w:rPr>
        <w:t>The date of manufacture is defined as the date the product completes all production processes required to make it usable for its intended purpose</w:t>
      </w:r>
      <w:r>
        <w:rPr>
          <w:bCs/>
          <w:szCs w:val="22"/>
        </w:rPr>
        <w:t>.</w:t>
      </w:r>
    </w:p>
    <w:p w14:paraId="5D4CCDB7" w14:textId="32A00854" w:rsidR="004A40FB" w:rsidRPr="004A40FB" w:rsidRDefault="004A40FB" w:rsidP="004A40FB">
      <w:pPr>
        <w:pStyle w:val="kj03123"/>
        <w:tabs>
          <w:tab w:val="clear" w:pos="360"/>
          <w:tab w:val="clear" w:pos="1267"/>
          <w:tab w:val="num" w:pos="1260"/>
        </w:tabs>
      </w:pPr>
      <w:r w:rsidRPr="00420EEA">
        <w:rPr>
          <w:bCs/>
          <w:szCs w:val="22"/>
        </w:rPr>
        <w:t>The date of manufacture should be traceable by batch/lot identification</w:t>
      </w:r>
      <w:r>
        <w:rPr>
          <w:bCs/>
          <w:szCs w:val="22"/>
        </w:rPr>
        <w:t>.</w:t>
      </w:r>
    </w:p>
    <w:p w14:paraId="15F11EF8" w14:textId="3685D753" w:rsidR="004A40FB" w:rsidRDefault="004A40FB" w:rsidP="004A40FB">
      <w:pPr>
        <w:pStyle w:val="kj03123"/>
        <w:tabs>
          <w:tab w:val="clear" w:pos="360"/>
          <w:tab w:val="clear" w:pos="1267"/>
          <w:tab w:val="num" w:pos="1260"/>
        </w:tabs>
      </w:pPr>
      <w:r w:rsidRPr="00420EEA">
        <w:rPr>
          <w:bCs/>
          <w:szCs w:val="22"/>
        </w:rPr>
        <w:t>Chemicals, adhesives, curatives, fillers, reactors, metals, fibers, plastic pellets, or any other item that can be construed as a ‘chemical substance’ must be procured via a GT purchase order so as to maintain traceability within the GT system in alignment with industry standards and regulatory requirements</w:t>
      </w:r>
      <w:r>
        <w:rPr>
          <w:bCs/>
          <w:szCs w:val="22"/>
        </w:rPr>
        <w:t xml:space="preserve"> (i.e., </w:t>
      </w:r>
      <w:r w:rsidRPr="00420EEA">
        <w:rPr>
          <w:bCs/>
          <w:szCs w:val="22"/>
        </w:rPr>
        <w:t>REACH, RoHS, TSCA, Conflict Minerals), and shall not be procured via a P-card transaction (Visa, Amex, etc.) or as undocumented samples</w:t>
      </w:r>
      <w:r>
        <w:rPr>
          <w:bCs/>
          <w:szCs w:val="22"/>
        </w:rPr>
        <w:t>.</w:t>
      </w:r>
    </w:p>
    <w:p w14:paraId="337AC8FB" w14:textId="4D8A961E" w:rsidR="00AC4EBD" w:rsidRDefault="004A40FB" w:rsidP="004A40FB">
      <w:pPr>
        <w:pStyle w:val="kj0212"/>
        <w:tabs>
          <w:tab w:val="clear" w:pos="360"/>
          <w:tab w:val="clear" w:pos="547"/>
          <w:tab w:val="num" w:pos="540"/>
        </w:tabs>
      </w:pPr>
      <w:bookmarkStart w:id="47" w:name="_Toc161133590"/>
      <w:r>
        <w:t>Cleanliness and Workmanship</w:t>
      </w:r>
      <w:bookmarkEnd w:id="47"/>
    </w:p>
    <w:p w14:paraId="6A362C82" w14:textId="1755CF8C" w:rsidR="00AC4EBD" w:rsidRPr="004A40FB" w:rsidRDefault="004A40FB" w:rsidP="004A40FB">
      <w:pPr>
        <w:pStyle w:val="kj03123"/>
        <w:tabs>
          <w:tab w:val="clear" w:pos="360"/>
          <w:tab w:val="clear" w:pos="1267"/>
          <w:tab w:val="num" w:pos="1260"/>
        </w:tabs>
      </w:pPr>
      <w:r w:rsidRPr="00420EEA">
        <w:rPr>
          <w:bCs/>
          <w:szCs w:val="22"/>
        </w:rPr>
        <w:t>All supplied parts, including those returned from outside processing, shall be free of corrosion, tarnish, or any other surface contamination that is detrimental to the item’s appearance or functional performance.</w:t>
      </w:r>
      <w:r>
        <w:rPr>
          <w:bCs/>
          <w:szCs w:val="22"/>
        </w:rPr>
        <w:t xml:space="preserve"> </w:t>
      </w:r>
      <w:r w:rsidRPr="00420EEA">
        <w:rPr>
          <w:bCs/>
          <w:szCs w:val="22"/>
        </w:rPr>
        <w:t xml:space="preserve"> Any part not meeting this requirement shall be subject to return to the supplier</w:t>
      </w:r>
      <w:r>
        <w:rPr>
          <w:bCs/>
          <w:szCs w:val="22"/>
        </w:rPr>
        <w:t>.</w:t>
      </w:r>
    </w:p>
    <w:p w14:paraId="144B072F" w14:textId="6BE3A132" w:rsidR="004A40FB" w:rsidRPr="004A40FB" w:rsidRDefault="004A40FB" w:rsidP="004A40FB">
      <w:pPr>
        <w:pStyle w:val="kj03123"/>
        <w:tabs>
          <w:tab w:val="clear" w:pos="360"/>
          <w:tab w:val="clear" w:pos="1267"/>
          <w:tab w:val="num" w:pos="1260"/>
        </w:tabs>
      </w:pPr>
      <w:r w:rsidRPr="00420EEA">
        <w:rPr>
          <w:bCs/>
          <w:szCs w:val="22"/>
        </w:rPr>
        <w:t>All parts should be deburred as required and specified per the print, router, or purchase order</w:t>
      </w:r>
      <w:r>
        <w:rPr>
          <w:bCs/>
          <w:szCs w:val="22"/>
        </w:rPr>
        <w:t>.</w:t>
      </w:r>
    </w:p>
    <w:p w14:paraId="5D3369C6" w14:textId="4528702F" w:rsidR="004A40FB" w:rsidRPr="004A40FB" w:rsidRDefault="004A40FB" w:rsidP="004A40FB">
      <w:pPr>
        <w:pStyle w:val="kj03123"/>
        <w:tabs>
          <w:tab w:val="clear" w:pos="360"/>
          <w:tab w:val="clear" w:pos="1267"/>
          <w:tab w:val="num" w:pos="1260"/>
        </w:tabs>
      </w:pPr>
      <w:r w:rsidRPr="00420EEA">
        <w:rPr>
          <w:bCs/>
          <w:szCs w:val="22"/>
        </w:rPr>
        <w:t xml:space="preserve">All supplied heat-treated metal components shall have a clean metallic finish and be free of any discoloration or scale due to the heat-treating process. </w:t>
      </w:r>
      <w:r>
        <w:rPr>
          <w:bCs/>
          <w:szCs w:val="22"/>
        </w:rPr>
        <w:t xml:space="preserve"> </w:t>
      </w:r>
      <w:r w:rsidRPr="00420EEA">
        <w:rPr>
          <w:bCs/>
          <w:szCs w:val="22"/>
        </w:rPr>
        <w:t>For any metal components, no weld repair of parent material is allowed</w:t>
      </w:r>
      <w:r>
        <w:rPr>
          <w:bCs/>
          <w:szCs w:val="22"/>
        </w:rPr>
        <w:t>.</w:t>
      </w:r>
    </w:p>
    <w:p w14:paraId="1A2803E9" w14:textId="79288755" w:rsidR="004A40FB" w:rsidRDefault="004A40FB" w:rsidP="004A40FB">
      <w:pPr>
        <w:pStyle w:val="kj03123"/>
        <w:tabs>
          <w:tab w:val="clear" w:pos="360"/>
          <w:tab w:val="clear" w:pos="1267"/>
          <w:tab w:val="num" w:pos="1260"/>
        </w:tabs>
      </w:pPr>
      <w:r w:rsidRPr="00420EEA">
        <w:rPr>
          <w:bCs/>
          <w:szCs w:val="22"/>
        </w:rPr>
        <w:t>Suppliers shall ensure that their employees and sub-tier suppliers are aware of their contribution to the conformity of the product or service supplied</w:t>
      </w:r>
      <w:r>
        <w:rPr>
          <w:bCs/>
          <w:szCs w:val="22"/>
        </w:rPr>
        <w:t>.</w:t>
      </w:r>
    </w:p>
    <w:p w14:paraId="1A9AB6F8" w14:textId="22282296" w:rsidR="00532F13" w:rsidRDefault="004A40FB" w:rsidP="004A40FB">
      <w:pPr>
        <w:pStyle w:val="kj0212"/>
        <w:tabs>
          <w:tab w:val="clear" w:pos="360"/>
          <w:tab w:val="clear" w:pos="547"/>
          <w:tab w:val="num" w:pos="540"/>
        </w:tabs>
      </w:pPr>
      <w:bookmarkStart w:id="48" w:name="_Toc161133591"/>
      <w:r>
        <w:t>Configuration Management and Part Obsolescence</w:t>
      </w:r>
      <w:bookmarkEnd w:id="48"/>
    </w:p>
    <w:p w14:paraId="49E79612" w14:textId="7055233A" w:rsidR="00532F13" w:rsidRPr="00BF6A22" w:rsidRDefault="00BF6A22" w:rsidP="00BF6A22">
      <w:pPr>
        <w:pStyle w:val="kj03123"/>
        <w:tabs>
          <w:tab w:val="clear" w:pos="360"/>
          <w:tab w:val="clear" w:pos="1267"/>
          <w:tab w:val="num" w:pos="1260"/>
        </w:tabs>
      </w:pPr>
      <w:r w:rsidRPr="00420EEA">
        <w:rPr>
          <w:bCs/>
          <w:szCs w:val="22"/>
        </w:rPr>
        <w:t xml:space="preserve">The GT purchase order is the only document which specifies the acceptable part configuration to be produced. </w:t>
      </w:r>
      <w:r>
        <w:rPr>
          <w:bCs/>
          <w:szCs w:val="22"/>
        </w:rPr>
        <w:t xml:space="preserve"> </w:t>
      </w:r>
      <w:r w:rsidRPr="00420EEA">
        <w:rPr>
          <w:bCs/>
          <w:szCs w:val="22"/>
        </w:rPr>
        <w:t xml:space="preserve">Only products made to the drawing revision level and/or material specification level noted on the purchase order may be provided. </w:t>
      </w:r>
      <w:r>
        <w:rPr>
          <w:bCs/>
          <w:szCs w:val="22"/>
        </w:rPr>
        <w:t xml:space="preserve"> </w:t>
      </w:r>
      <w:r w:rsidRPr="00420EEA">
        <w:rPr>
          <w:bCs/>
          <w:szCs w:val="22"/>
        </w:rPr>
        <w:t xml:space="preserve">It is the supplier’s responsibility to verify the documents used to manufacture and inspect the parts are at the correct revision level matching the purchase order. </w:t>
      </w:r>
      <w:r>
        <w:rPr>
          <w:bCs/>
          <w:szCs w:val="22"/>
        </w:rPr>
        <w:t xml:space="preserve"> </w:t>
      </w:r>
      <w:r w:rsidRPr="00420EEA">
        <w:rPr>
          <w:bCs/>
          <w:szCs w:val="22"/>
        </w:rPr>
        <w:t>If there is an issue with being able to produce to the purchase order revision level noted, then GT Supply Chain needs to be notified by the supplier immediately in order to correct the situation</w:t>
      </w:r>
      <w:r>
        <w:rPr>
          <w:bCs/>
          <w:szCs w:val="22"/>
        </w:rPr>
        <w:t>.</w:t>
      </w:r>
    </w:p>
    <w:p w14:paraId="1C396208" w14:textId="72DA24C0" w:rsidR="00BF6A22" w:rsidRDefault="00BF6A22" w:rsidP="00BF6A22">
      <w:pPr>
        <w:pStyle w:val="kj03123"/>
        <w:tabs>
          <w:tab w:val="clear" w:pos="360"/>
          <w:tab w:val="clear" w:pos="1267"/>
          <w:tab w:val="num" w:pos="1260"/>
        </w:tabs>
      </w:pPr>
      <w:r w:rsidRPr="00420EEA">
        <w:rPr>
          <w:bCs/>
          <w:szCs w:val="22"/>
        </w:rPr>
        <w:t>In the case that the supplier has stock on hand of a prior revision level part, these parts will need to be segregated from production and GT Supply Chain needs to be immediately notified for disposition activities</w:t>
      </w:r>
      <w:r w:rsidR="00E46CC4">
        <w:rPr>
          <w:bCs/>
          <w:szCs w:val="22"/>
        </w:rPr>
        <w:t>.</w:t>
      </w:r>
    </w:p>
    <w:p w14:paraId="4238C893" w14:textId="77777777" w:rsidR="00E46CC4" w:rsidRDefault="001D5FBA" w:rsidP="00E46CC4">
      <w:hyperlink w:anchor="TableOfContents" w:history="1">
        <w:r w:rsidR="00E46CC4" w:rsidRPr="00066290">
          <w:rPr>
            <w:rStyle w:val="Hyperlink"/>
            <w:rFonts w:cs="Arial"/>
            <w:sz w:val="16"/>
            <w:szCs w:val="14"/>
          </w:rPr>
          <w:t>Return to Table of Contents</w:t>
        </w:r>
      </w:hyperlink>
      <w:r w:rsidR="00E46CC4">
        <w:br w:type="page"/>
      </w:r>
    </w:p>
    <w:p w14:paraId="42E2A258" w14:textId="76DBB1DC" w:rsidR="00AC4EBD" w:rsidRDefault="005E3FF1" w:rsidP="005E3FF1">
      <w:pPr>
        <w:pStyle w:val="kj0212"/>
        <w:tabs>
          <w:tab w:val="clear" w:pos="360"/>
          <w:tab w:val="clear" w:pos="547"/>
          <w:tab w:val="num" w:pos="540"/>
        </w:tabs>
      </w:pPr>
      <w:bookmarkStart w:id="49" w:name="_Ref161045862"/>
      <w:bookmarkStart w:id="50" w:name="_Toc161133592"/>
      <w:r>
        <w:t>Continuity of Supply and Change Control Requirements</w:t>
      </w:r>
      <w:bookmarkEnd w:id="49"/>
      <w:bookmarkEnd w:id="50"/>
    </w:p>
    <w:p w14:paraId="22ABE476" w14:textId="1F230C59" w:rsidR="004A40FB" w:rsidRDefault="005E3FF1" w:rsidP="005E3FF1">
      <w:pPr>
        <w:pStyle w:val="kj03123"/>
        <w:tabs>
          <w:tab w:val="clear" w:pos="360"/>
          <w:tab w:val="clear" w:pos="1267"/>
          <w:tab w:val="num" w:pos="1260"/>
        </w:tabs>
      </w:pPr>
      <w:r w:rsidRPr="00420EEA">
        <w:rPr>
          <w:bCs/>
          <w:szCs w:val="22"/>
        </w:rPr>
        <w:t xml:space="preserve">GT supplies customers in the semiconductor industry which require adherence to ‘Copy Exact’ guidelines, however GT expects this notification process for all supplied products. </w:t>
      </w:r>
      <w:r>
        <w:rPr>
          <w:bCs/>
          <w:szCs w:val="22"/>
        </w:rPr>
        <w:t xml:space="preserve"> </w:t>
      </w:r>
      <w:r w:rsidRPr="00420EEA">
        <w:rPr>
          <w:bCs/>
          <w:szCs w:val="22"/>
        </w:rPr>
        <w:t>This includes</w:t>
      </w:r>
      <w:r>
        <w:rPr>
          <w:bCs/>
          <w:szCs w:val="22"/>
        </w:rPr>
        <w:t>:</w:t>
      </w:r>
    </w:p>
    <w:p w14:paraId="34F97422" w14:textId="6EFF7614" w:rsidR="004A40FB" w:rsidRPr="005E3FF1" w:rsidRDefault="005E3FF1" w:rsidP="005E3FF1">
      <w:pPr>
        <w:pStyle w:val="kj041234"/>
        <w:ind w:hanging="1080"/>
      </w:pPr>
      <w:r w:rsidRPr="00420EEA">
        <w:rPr>
          <w:rFonts w:cs="Arial"/>
          <w:bCs/>
          <w:szCs w:val="22"/>
        </w:rPr>
        <w:t>Physical Interchangeability (form and fit) – Equivalent parts capable of being installed, removed, or replaced without sustaining or causing damage, misalignment, or interference</w:t>
      </w:r>
      <w:r>
        <w:rPr>
          <w:rFonts w:cs="Arial"/>
          <w:bCs/>
          <w:szCs w:val="22"/>
        </w:rPr>
        <w:t>.</w:t>
      </w:r>
    </w:p>
    <w:p w14:paraId="19E1BD46" w14:textId="4EE7558F" w:rsidR="005E3FF1" w:rsidRDefault="005E3FF1" w:rsidP="005E3FF1">
      <w:pPr>
        <w:pStyle w:val="kj041234"/>
        <w:ind w:hanging="1080"/>
      </w:pPr>
      <w:r w:rsidRPr="00420EEA">
        <w:rPr>
          <w:rFonts w:cs="Arial"/>
          <w:bCs/>
          <w:szCs w:val="22"/>
        </w:rPr>
        <w:t>Functional Interchangeability – Parts equivalent in safety, characteristics of operation, performance, durability, serviceability, structural strength, material, and protective finish</w:t>
      </w:r>
      <w:r>
        <w:rPr>
          <w:rFonts w:cs="Arial"/>
          <w:bCs/>
          <w:szCs w:val="22"/>
        </w:rPr>
        <w:t>.</w:t>
      </w:r>
    </w:p>
    <w:p w14:paraId="65BAED5D" w14:textId="484102AC" w:rsidR="004A40FB" w:rsidRPr="00062B7B" w:rsidRDefault="00062B7B" w:rsidP="005E3FF1">
      <w:pPr>
        <w:pStyle w:val="kj03123"/>
        <w:tabs>
          <w:tab w:val="clear" w:pos="360"/>
          <w:tab w:val="clear" w:pos="1267"/>
          <w:tab w:val="num" w:pos="1260"/>
        </w:tabs>
      </w:pPr>
      <w:r w:rsidRPr="00420EEA">
        <w:rPr>
          <w:bCs/>
          <w:szCs w:val="22"/>
        </w:rPr>
        <w:t xml:space="preserve">GT has an obligation to our customers to control all our products and processes throughout the supply chain. </w:t>
      </w:r>
      <w:r>
        <w:rPr>
          <w:bCs/>
          <w:szCs w:val="22"/>
        </w:rPr>
        <w:t xml:space="preserve"> </w:t>
      </w:r>
      <w:r w:rsidRPr="00420EEA">
        <w:rPr>
          <w:bCs/>
          <w:szCs w:val="22"/>
        </w:rPr>
        <w:t>These customers demand prior notification and approval for any changes to design, process, equipment, location of manufacture, source of supply or materials for products we supply them</w:t>
      </w:r>
      <w:r>
        <w:rPr>
          <w:bCs/>
          <w:szCs w:val="22"/>
        </w:rPr>
        <w:t>.</w:t>
      </w:r>
    </w:p>
    <w:p w14:paraId="6B2F5647" w14:textId="6A5D1A19" w:rsidR="00062B7B" w:rsidRPr="00062B7B" w:rsidRDefault="00062B7B" w:rsidP="005E3FF1">
      <w:pPr>
        <w:pStyle w:val="kj03123"/>
        <w:tabs>
          <w:tab w:val="clear" w:pos="360"/>
          <w:tab w:val="clear" w:pos="1267"/>
          <w:tab w:val="num" w:pos="1260"/>
        </w:tabs>
      </w:pPr>
      <w:r w:rsidRPr="00865577">
        <mc:AlternateContent>
          <mc:Choice Requires="wps">
            <w:drawing>
              <wp:anchor distT="45720" distB="45720" distL="114300" distR="114300" simplePos="0" relativeHeight="251703296" behindDoc="0" locked="0" layoutInCell="1" allowOverlap="1" wp14:anchorId="63C21147" wp14:editId="54D4AE30">
                <wp:simplePos x="0" y="0"/>
                <wp:positionH relativeFrom="column">
                  <wp:posOffset>-381000</wp:posOffset>
                </wp:positionH>
                <wp:positionV relativeFrom="paragraph">
                  <wp:posOffset>498475</wp:posOffset>
                </wp:positionV>
                <wp:extent cx="365760" cy="1404620"/>
                <wp:effectExtent l="0" t="0" r="0" b="8890"/>
                <wp:wrapNone/>
                <wp:docPr id="627142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404620"/>
                        </a:xfrm>
                        <a:prstGeom prst="rect">
                          <a:avLst/>
                        </a:prstGeom>
                        <a:solidFill>
                          <a:srgbClr val="FFFFFF"/>
                        </a:solidFill>
                        <a:ln w="9525">
                          <a:noFill/>
                          <a:miter lim="800000"/>
                          <a:headEnd/>
                          <a:tailEnd/>
                        </a:ln>
                      </wps:spPr>
                      <wps:txbx>
                        <w:txbxContent>
                          <w:p w14:paraId="6B55299F" w14:textId="77777777" w:rsidR="00062B7B" w:rsidRPr="006659B4" w:rsidRDefault="00062B7B" w:rsidP="00062B7B">
                            <w:pPr>
                              <w:tabs>
                                <w:tab w:val="left" w:pos="187"/>
                                <w:tab w:val="left" w:pos="547"/>
                                <w:tab w:val="left" w:pos="1267"/>
                                <w:tab w:val="left" w:pos="2160"/>
                                <w:tab w:val="left" w:pos="3240"/>
                                <w:tab w:val="left" w:pos="4320"/>
                                <w:tab w:val="left" w:pos="5760"/>
                                <w:tab w:val="left" w:pos="7387"/>
                              </w:tabs>
                              <w:jc w:val="right"/>
                              <w:rPr>
                                <w:rFonts w:cs="Arial"/>
                              </w:rPr>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C21147" id="_x0000_s1041" type="#_x0000_t202" style="position:absolute;left:0;text-align:left;margin-left:-30pt;margin-top:39.25pt;width:28.8pt;height:110.6pt;z-index:251703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GXCEgIAAP4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" stroked="f">
                <v:textbox style="mso-fit-shape-to-text:t">
                  <w:txbxContent>
                    <w:p w14:paraId="6B55299F" w14:textId="77777777" w:rsidR="00062B7B" w:rsidRPr="006659B4" w:rsidRDefault="00062B7B" w:rsidP="00062B7B">
                      <w:pPr>
                        <w:tabs>
                          <w:tab w:val="left" w:pos="187"/>
                          <w:tab w:val="left" w:pos="547"/>
                          <w:tab w:val="left" w:pos="1267"/>
                          <w:tab w:val="left" w:pos="2160"/>
                          <w:tab w:val="left" w:pos="3240"/>
                          <w:tab w:val="left" w:pos="4320"/>
                          <w:tab w:val="left" w:pos="5760"/>
                          <w:tab w:val="left" w:pos="7387"/>
                        </w:tabs>
                        <w:jc w:val="right"/>
                        <w:rPr>
                          <w:rFonts w:cs="Arial"/>
                        </w:rPr>
                      </w:pPr>
                      <w:r>
                        <w:t>|</w:t>
                      </w:r>
                    </w:p>
                  </w:txbxContent>
                </v:textbox>
              </v:shape>
            </w:pict>
          </mc:Fallback>
        </mc:AlternateContent>
      </w:r>
      <w:r w:rsidRPr="00420EEA">
        <w:rPr>
          <w:bCs/>
          <w:szCs w:val="22"/>
        </w:rPr>
        <w:t>Once a process is approved through acceptance of the First Article, it is considered ‘locked in’ as the ‘Process of Record’ (POR) or ‘Process Qualification Program’ (PQP). However, these rules apply to all parts</w:t>
      </w:r>
      <w:r>
        <w:rPr>
          <w:bCs/>
          <w:szCs w:val="22"/>
        </w:rPr>
        <w:t>,</w:t>
      </w:r>
      <w:r w:rsidRPr="00420EEA">
        <w:rPr>
          <w:bCs/>
          <w:szCs w:val="22"/>
        </w:rPr>
        <w:t xml:space="preserve"> whether or not a formal POR or PQP exists</w:t>
      </w:r>
      <w:r>
        <w:rPr>
          <w:bCs/>
          <w:szCs w:val="22"/>
        </w:rPr>
        <w:t>.</w:t>
      </w:r>
    </w:p>
    <w:p w14:paraId="65269863" w14:textId="401163F3" w:rsidR="00062B7B" w:rsidRDefault="00062B7B" w:rsidP="00EA3532">
      <w:pPr>
        <w:pStyle w:val="kj03123"/>
        <w:tabs>
          <w:tab w:val="clear" w:pos="360"/>
          <w:tab w:val="clear" w:pos="1267"/>
          <w:tab w:val="num" w:pos="1260"/>
        </w:tabs>
      </w:pPr>
      <w:r w:rsidRPr="00062B7B">
        <w:t xml:space="preserve">Aspects of a product which fall under ‘Copy Exact’ rules include specifications, ingredients, particle size, particle shape, manufacturing/construction/assembly process, location of manufacture, equipment used in manufacturing, and the use of subcontracted parts, materials, or services. </w:t>
      </w:r>
      <w:r>
        <w:t xml:space="preserve"> </w:t>
      </w:r>
      <w:r w:rsidRPr="00062B7B">
        <w:t xml:space="preserve">See Section </w:t>
      </w:r>
      <w:r w:rsidR="00EA3532">
        <w:fldChar w:fldCharType="begin"/>
      </w:r>
      <w:r w:rsidR="00EA3532">
        <w:instrText xml:space="preserve"> REF _Ref161044387 \r \h </w:instrText>
      </w:r>
      <w:r w:rsidR="00EA3532">
        <w:fldChar w:fldCharType="separate"/>
      </w:r>
      <w:r w:rsidR="00EA3532">
        <w:t>3.4</w:t>
      </w:r>
      <w:r w:rsidR="00EA3532">
        <w:fldChar w:fldCharType="end"/>
      </w:r>
      <w:r w:rsidRPr="00062B7B">
        <w:t xml:space="preserve"> for training expectations</w:t>
      </w:r>
      <w:r>
        <w:t>.</w:t>
      </w:r>
    </w:p>
    <w:p w14:paraId="5E769B50" w14:textId="735A2031" w:rsidR="00062B7B" w:rsidRPr="00062B7B" w:rsidRDefault="00062B7B" w:rsidP="00062B7B">
      <w:pPr>
        <w:pStyle w:val="kj03123"/>
      </w:pPr>
      <w:r w:rsidRPr="00420EEA">
        <w:rPr>
          <w:bCs/>
          <w:szCs w:val="22"/>
        </w:rPr>
        <w:t>Any material reformulation per the above criteria must be communicated to the GT Supply Chain with a minimum 12-month advance notice prior to ceasing the old formulation for GT to qualify a new or alternate formulation, and also to be able to purchase a bridge quantity of material for use during the qualification process</w:t>
      </w:r>
      <w:r>
        <w:rPr>
          <w:bCs/>
          <w:szCs w:val="22"/>
        </w:rPr>
        <w:t>.</w:t>
      </w:r>
    </w:p>
    <w:p w14:paraId="241C2726" w14:textId="3CBA7B55" w:rsidR="004A40FB" w:rsidRDefault="00860E81" w:rsidP="00860E81">
      <w:pPr>
        <w:pStyle w:val="kj0212"/>
        <w:tabs>
          <w:tab w:val="clear" w:pos="360"/>
          <w:tab w:val="clear" w:pos="547"/>
          <w:tab w:val="num" w:pos="540"/>
        </w:tabs>
      </w:pPr>
      <w:bookmarkStart w:id="51" w:name="_Toc161133593"/>
      <w:r>
        <w:t>Continuous Improvement</w:t>
      </w:r>
      <w:bookmarkEnd w:id="51"/>
    </w:p>
    <w:p w14:paraId="6AB4E8C7" w14:textId="79378844" w:rsidR="004A40FB" w:rsidRDefault="00771799" w:rsidP="00860E81">
      <w:pPr>
        <w:pStyle w:val="kj03123"/>
        <w:tabs>
          <w:tab w:val="clear" w:pos="360"/>
          <w:tab w:val="clear" w:pos="1267"/>
          <w:tab w:val="num" w:pos="1260"/>
        </w:tabs>
      </w:pPr>
      <w:r w:rsidRPr="00420EEA">
        <w:rPr>
          <w:bCs/>
          <w:szCs w:val="22"/>
        </w:rPr>
        <w:t xml:space="preserve">GT is committed to the Continuous Improvement of our products, processes, systems, and people. </w:t>
      </w:r>
      <w:r>
        <w:rPr>
          <w:bCs/>
          <w:szCs w:val="22"/>
        </w:rPr>
        <w:t xml:space="preserve"> </w:t>
      </w:r>
      <w:r w:rsidRPr="00420EEA">
        <w:rPr>
          <w:bCs/>
          <w:szCs w:val="22"/>
        </w:rPr>
        <w:t xml:space="preserve">The culture of Continuous Improvement is vital to the development and growth of our supply base for the mutual benefit of the supplier and GT. </w:t>
      </w:r>
      <w:r>
        <w:rPr>
          <w:bCs/>
          <w:szCs w:val="22"/>
        </w:rPr>
        <w:t xml:space="preserve"> </w:t>
      </w:r>
      <w:r w:rsidRPr="00420EEA">
        <w:rPr>
          <w:bCs/>
          <w:szCs w:val="22"/>
        </w:rPr>
        <w:t>Tools that can effectively be used to promote Continuous Improvement include</w:t>
      </w:r>
      <w:r>
        <w:rPr>
          <w:bCs/>
          <w:szCs w:val="22"/>
        </w:rPr>
        <w:t>:</w:t>
      </w:r>
    </w:p>
    <w:p w14:paraId="4759D7C1" w14:textId="77777777" w:rsidR="00771799" w:rsidRPr="00420EEA" w:rsidRDefault="00771799" w:rsidP="00771799">
      <w:pPr>
        <w:pStyle w:val="kj041234"/>
        <w:ind w:hanging="1080"/>
        <w:rPr>
          <w:b/>
        </w:rPr>
      </w:pPr>
      <w:r w:rsidRPr="00420EEA">
        <w:t>Attainment of a quality system certification</w:t>
      </w:r>
    </w:p>
    <w:p w14:paraId="5CB6F40F" w14:textId="66DC12E3" w:rsidR="00771799" w:rsidRPr="00420EEA" w:rsidRDefault="00771799" w:rsidP="00771799">
      <w:pPr>
        <w:pStyle w:val="kj041234"/>
        <w:ind w:hanging="1080"/>
        <w:rPr>
          <w:b/>
        </w:rPr>
      </w:pPr>
      <w:r w:rsidRPr="00420EEA">
        <w:t xml:space="preserve">Use of Lean sigma </w:t>
      </w:r>
      <w:r>
        <w:t>and</w:t>
      </w:r>
      <w:r w:rsidRPr="00420EEA">
        <w:t xml:space="preserve"> six sigma tools</w:t>
      </w:r>
    </w:p>
    <w:p w14:paraId="71BDC155" w14:textId="77777777" w:rsidR="00771799" w:rsidRPr="00420EEA" w:rsidRDefault="00771799" w:rsidP="00771799">
      <w:pPr>
        <w:pStyle w:val="kj041234"/>
        <w:ind w:hanging="1080"/>
        <w:rPr>
          <w:b/>
        </w:rPr>
      </w:pPr>
      <w:r w:rsidRPr="00420EEA">
        <w:t>Error-proofing equipment for quality and safety</w:t>
      </w:r>
    </w:p>
    <w:p w14:paraId="17AECA93" w14:textId="1CD37B65" w:rsidR="00771799" w:rsidRPr="00420EEA" w:rsidRDefault="00771799" w:rsidP="00771799">
      <w:pPr>
        <w:pStyle w:val="kj041234"/>
        <w:ind w:hanging="1080"/>
        <w:rPr>
          <w:b/>
        </w:rPr>
      </w:pPr>
      <w:r w:rsidRPr="00420EEA">
        <w:t xml:space="preserve">Process mapping, Fishbone, 5 </w:t>
      </w:r>
      <w:r w:rsidR="004C7296">
        <w:t>W</w:t>
      </w:r>
      <w:r w:rsidRPr="00420EEA">
        <w:t>hy concepts</w:t>
      </w:r>
    </w:p>
    <w:p w14:paraId="279E2413" w14:textId="32F89F0B" w:rsidR="00771799" w:rsidRPr="00420EEA" w:rsidRDefault="00F44D71" w:rsidP="00771799">
      <w:pPr>
        <w:pStyle w:val="kj041234"/>
        <w:ind w:hanging="1080"/>
        <w:rPr>
          <w:b/>
        </w:rPr>
      </w:pPr>
      <w:r>
        <w:t>6</w:t>
      </w:r>
      <w:r w:rsidR="00771799" w:rsidRPr="00420EEA">
        <w:t>S workplace organization</w:t>
      </w:r>
    </w:p>
    <w:p w14:paraId="437733F5" w14:textId="33722543" w:rsidR="004A40FB" w:rsidRPr="00771799" w:rsidRDefault="00771799" w:rsidP="00771799">
      <w:pPr>
        <w:pStyle w:val="kj041234"/>
        <w:ind w:hanging="1080"/>
      </w:pPr>
      <w:r w:rsidRPr="00420EEA">
        <w:rPr>
          <w:rFonts w:cs="Arial"/>
          <w:bCs/>
          <w:szCs w:val="22"/>
        </w:rPr>
        <w:t xml:space="preserve">Design </w:t>
      </w:r>
      <w:r w:rsidR="004C7296">
        <w:rPr>
          <w:rFonts w:cs="Arial"/>
          <w:bCs/>
          <w:szCs w:val="22"/>
        </w:rPr>
        <w:t>and</w:t>
      </w:r>
      <w:r w:rsidRPr="00420EEA">
        <w:rPr>
          <w:rFonts w:cs="Arial"/>
          <w:bCs/>
          <w:szCs w:val="22"/>
        </w:rPr>
        <w:t xml:space="preserve"> process FMEA’s (Failure Modes &amp; Effects Analysis</w:t>
      </w:r>
      <w:r>
        <w:rPr>
          <w:rFonts w:cs="Arial"/>
          <w:bCs/>
          <w:szCs w:val="22"/>
        </w:rPr>
        <w:t>)</w:t>
      </w:r>
    </w:p>
    <w:p w14:paraId="76C8352B" w14:textId="77777777" w:rsidR="00771799" w:rsidRPr="00420EEA" w:rsidRDefault="00771799" w:rsidP="00771799">
      <w:pPr>
        <w:pStyle w:val="kj041234"/>
        <w:ind w:hanging="1080"/>
        <w:rPr>
          <w:b/>
        </w:rPr>
      </w:pPr>
      <w:r w:rsidRPr="00420EEA">
        <w:t>Preventative maintenance program</w:t>
      </w:r>
    </w:p>
    <w:p w14:paraId="79AC9706" w14:textId="77777777" w:rsidR="00771799" w:rsidRPr="00420EEA" w:rsidRDefault="00771799" w:rsidP="00771799">
      <w:pPr>
        <w:pStyle w:val="kj041234"/>
        <w:ind w:hanging="1080"/>
        <w:rPr>
          <w:b/>
        </w:rPr>
      </w:pPr>
      <w:r w:rsidRPr="00420EEA">
        <w:t>Monitoring of SPC (Statistical Process Control) for capability of process</w:t>
      </w:r>
    </w:p>
    <w:p w14:paraId="3CC1A5B1" w14:textId="427D7A52" w:rsidR="00771799" w:rsidRDefault="00771799" w:rsidP="00771799">
      <w:pPr>
        <w:pStyle w:val="kj041234"/>
        <w:ind w:hanging="1080"/>
      </w:pPr>
      <w:r w:rsidRPr="00420EEA">
        <w:t>Waste analysis (Muda</w:t>
      </w:r>
      <w:r>
        <w:t>)</w:t>
      </w:r>
    </w:p>
    <w:p w14:paraId="464B9F55" w14:textId="77777777" w:rsidR="00771799" w:rsidRPr="00420EEA" w:rsidRDefault="00771799" w:rsidP="00771799">
      <w:pPr>
        <w:pStyle w:val="kj041234"/>
        <w:ind w:hanging="1080"/>
        <w:rPr>
          <w:b/>
        </w:rPr>
      </w:pPr>
      <w:r w:rsidRPr="00420EEA">
        <w:t>8D problem solving methodology</w:t>
      </w:r>
    </w:p>
    <w:p w14:paraId="7A130249" w14:textId="5E2C609C" w:rsidR="00771799" w:rsidRDefault="00771799" w:rsidP="00771799">
      <w:pPr>
        <w:pStyle w:val="kj041234"/>
        <w:ind w:hanging="1080"/>
      </w:pPr>
      <w:r w:rsidRPr="00420EEA">
        <w:t>Analysis of First Pass Yield</w:t>
      </w:r>
    </w:p>
    <w:p w14:paraId="5C653B4E" w14:textId="3F1AFE4A" w:rsidR="004A40FB" w:rsidRDefault="00771799" w:rsidP="00771799">
      <w:pPr>
        <w:pStyle w:val="kj03123"/>
        <w:tabs>
          <w:tab w:val="clear" w:pos="360"/>
          <w:tab w:val="clear" w:pos="1267"/>
          <w:tab w:val="num" w:pos="1260"/>
        </w:tabs>
      </w:pPr>
      <w:r w:rsidRPr="00420EEA">
        <w:rPr>
          <w:bCs/>
          <w:szCs w:val="22"/>
        </w:rPr>
        <w:t>GT has a number of resources which can help suppliers identify opportunities for improvement and growth regardless of the size and scope of the supplier and encourage our supply base to engage us in their continuous improvement activities</w:t>
      </w:r>
      <w:r>
        <w:rPr>
          <w:bCs/>
          <w:szCs w:val="22"/>
        </w:rPr>
        <w:t>.</w:t>
      </w:r>
    </w:p>
    <w:p w14:paraId="66E84979" w14:textId="691AB515" w:rsidR="004A40FB" w:rsidRDefault="00771799" w:rsidP="00771799">
      <w:pPr>
        <w:pStyle w:val="kj0212"/>
        <w:tabs>
          <w:tab w:val="clear" w:pos="360"/>
          <w:tab w:val="clear" w:pos="547"/>
          <w:tab w:val="num" w:pos="540"/>
        </w:tabs>
      </w:pPr>
      <w:bookmarkStart w:id="52" w:name="_Toc161133594"/>
      <w:r>
        <w:t>Control of Records</w:t>
      </w:r>
      <w:bookmarkEnd w:id="52"/>
    </w:p>
    <w:p w14:paraId="05930502" w14:textId="0AFCA6A7" w:rsidR="00771799" w:rsidRPr="00420EEA" w:rsidRDefault="00771799" w:rsidP="00771799">
      <w:pPr>
        <w:pStyle w:val="kj03123"/>
        <w:rPr>
          <w:b/>
        </w:rPr>
      </w:pPr>
      <w:r w:rsidRPr="00420EEA">
        <w:t xml:space="preserve">Record control </w:t>
      </w:r>
      <w:r>
        <w:t xml:space="preserve">and </w:t>
      </w:r>
      <w:r w:rsidRPr="00420EEA">
        <w:t>retention related to GT purchase orders and products shall be in accordance with the supplier’s standard procedure for control of records, and such procedures must meet, at a minimum, the requirements of ISO 9001.  Any product which is manufactured for the aerospace industry must meet control of record requirements per AS9100.</w:t>
      </w:r>
    </w:p>
    <w:p w14:paraId="5092FCAB" w14:textId="1991FC9C" w:rsidR="004A40FB" w:rsidRDefault="00771799" w:rsidP="00771799">
      <w:pPr>
        <w:pStyle w:val="kj03123"/>
      </w:pPr>
      <w:r w:rsidRPr="00420EEA">
        <w:t xml:space="preserve">Records shall remain legible, readily identifiable, and retrievable within 72 hours of GT’s request to the supplier. </w:t>
      </w:r>
      <w:r>
        <w:t xml:space="preserve"> </w:t>
      </w:r>
      <w:r w:rsidRPr="00420EEA">
        <w:t>Records shall be retained and remain available for review for a minimum period of 10 years after completion of the work of GT’s purchase order unless otherwise specified by the purchase order and/or specifications</w:t>
      </w:r>
      <w:r>
        <w:t>.</w:t>
      </w:r>
    </w:p>
    <w:p w14:paraId="7A0E3A9B" w14:textId="2E9C7AC2" w:rsidR="004A40FB" w:rsidRDefault="00771799" w:rsidP="00771799">
      <w:pPr>
        <w:pStyle w:val="kj0212"/>
        <w:tabs>
          <w:tab w:val="clear" w:pos="360"/>
          <w:tab w:val="clear" w:pos="547"/>
          <w:tab w:val="num" w:pos="540"/>
        </w:tabs>
      </w:pPr>
      <w:bookmarkStart w:id="53" w:name="_Toc161133595"/>
      <w:r>
        <w:t>Corrective and Preventive Actions</w:t>
      </w:r>
      <w:bookmarkEnd w:id="53"/>
    </w:p>
    <w:p w14:paraId="15399A7E" w14:textId="2D3A0E37" w:rsidR="00771799" w:rsidRPr="00420EEA" w:rsidRDefault="00771799" w:rsidP="00F44D71">
      <w:pPr>
        <w:pStyle w:val="kj03123"/>
        <w:tabs>
          <w:tab w:val="clear" w:pos="360"/>
          <w:tab w:val="clear" w:pos="1267"/>
          <w:tab w:val="num" w:pos="1260"/>
        </w:tabs>
        <w:rPr>
          <w:b/>
        </w:rPr>
      </w:pPr>
      <w:r w:rsidRPr="00420EEA">
        <w:t>Where requested and</w:t>
      </w:r>
      <w:r>
        <w:t>/</w:t>
      </w:r>
      <w:r w:rsidRPr="00420EEA">
        <w:t xml:space="preserve">or found necessary, a </w:t>
      </w:r>
      <w:r w:rsidR="00F44D71">
        <w:t>Quality Notification (</w:t>
      </w:r>
      <w:r w:rsidRPr="00420EEA">
        <w:t>QN</w:t>
      </w:r>
      <w:r w:rsidR="00F44D71">
        <w:t>)</w:t>
      </w:r>
      <w:r w:rsidRPr="00420EEA">
        <w:t>, Supplier Corrective Action Requests (SCAR) or A3 Action Plan can used as a mechanism to ensure that the documented condition of the non-conformance has been investigated, that the causes have been identified, and that the defined corrective action will prevent reoccurrence.</w:t>
      </w:r>
    </w:p>
    <w:p w14:paraId="70E0B1FE" w14:textId="1CC1671C" w:rsidR="004A40FB" w:rsidRDefault="00771799" w:rsidP="00771799">
      <w:pPr>
        <w:pStyle w:val="kj03123"/>
      </w:pPr>
      <w:r w:rsidRPr="00420EEA">
        <w:t xml:space="preserve">A SCAR request can be issued to the responsible supplier upon the GT disposition of the non-conforming material or condition. </w:t>
      </w:r>
      <w:r>
        <w:t xml:space="preserve"> </w:t>
      </w:r>
      <w:r w:rsidRPr="00420EEA">
        <w:t>The supplier receiving the corrective action will complete the following by the due dates assigned</w:t>
      </w:r>
      <w:r>
        <w:t>:</w:t>
      </w:r>
    </w:p>
    <w:p w14:paraId="22E785DC" w14:textId="515D47F7" w:rsidR="004A40FB" w:rsidRPr="00771799" w:rsidRDefault="00771799" w:rsidP="00771799">
      <w:pPr>
        <w:pStyle w:val="kj041234"/>
        <w:ind w:hanging="1080"/>
      </w:pPr>
      <w:r w:rsidRPr="00420EEA">
        <w:rPr>
          <w:rFonts w:cs="Arial"/>
          <w:bCs/>
          <w:szCs w:val="22"/>
        </w:rPr>
        <w:t xml:space="preserve">Implement immediate containment actions which would include increased detection measures to identify and keep further defective material from reaching GT. </w:t>
      </w:r>
      <w:r>
        <w:rPr>
          <w:rFonts w:cs="Arial"/>
          <w:bCs/>
          <w:szCs w:val="22"/>
        </w:rPr>
        <w:t xml:space="preserve"> </w:t>
      </w:r>
      <w:r w:rsidRPr="00420EEA">
        <w:rPr>
          <w:rFonts w:cs="Arial"/>
          <w:bCs/>
          <w:szCs w:val="22"/>
        </w:rPr>
        <w:t>This would also include identifying the scope of the suspect material by batch/lots, and then segregating all suspect inventory including work in progress (WIP) and raw material</w:t>
      </w:r>
      <w:r>
        <w:rPr>
          <w:rFonts w:cs="Arial"/>
          <w:bCs/>
          <w:szCs w:val="22"/>
        </w:rPr>
        <w:t>.</w:t>
      </w:r>
    </w:p>
    <w:p w14:paraId="1C3714E5" w14:textId="755BF763" w:rsidR="00771799" w:rsidRPr="00771799" w:rsidRDefault="00771799" w:rsidP="00771799">
      <w:pPr>
        <w:pStyle w:val="kj041234"/>
        <w:ind w:hanging="1080"/>
      </w:pPr>
      <w:r w:rsidRPr="00420EEA">
        <w:rPr>
          <w:rFonts w:cs="Arial"/>
          <w:bCs/>
          <w:szCs w:val="22"/>
        </w:rPr>
        <w:t xml:space="preserve">Identify and define the Root Cause using such techniques as 5 Why, Fishbone Diagram, and/or Pareto analysis in order to verify you are not treating only a symptom of the issue. </w:t>
      </w:r>
      <w:r>
        <w:rPr>
          <w:rFonts w:cs="Arial"/>
          <w:bCs/>
          <w:szCs w:val="22"/>
        </w:rPr>
        <w:t xml:space="preserve"> </w:t>
      </w:r>
      <w:r w:rsidRPr="00420EEA">
        <w:rPr>
          <w:rFonts w:cs="Arial"/>
          <w:bCs/>
          <w:szCs w:val="22"/>
        </w:rPr>
        <w:t xml:space="preserve">The following questions will need to be answered: </w:t>
      </w:r>
      <w:r>
        <w:rPr>
          <w:rFonts w:cs="Arial"/>
          <w:bCs/>
          <w:szCs w:val="22"/>
        </w:rPr>
        <w:t xml:space="preserve"> </w:t>
      </w:r>
      <w:r w:rsidRPr="00420EEA">
        <w:rPr>
          <w:rFonts w:cs="Arial"/>
          <w:bCs/>
          <w:szCs w:val="22"/>
        </w:rPr>
        <w:t xml:space="preserve">How was the defect created in the manufacturing process? </w:t>
      </w:r>
      <w:r>
        <w:rPr>
          <w:rFonts w:cs="Arial"/>
          <w:bCs/>
          <w:szCs w:val="22"/>
        </w:rPr>
        <w:t xml:space="preserve"> </w:t>
      </w:r>
      <w:r w:rsidRPr="00420EEA">
        <w:rPr>
          <w:rFonts w:cs="Arial"/>
          <w:bCs/>
          <w:szCs w:val="22"/>
        </w:rPr>
        <w:t xml:space="preserve">Why was the defect not detected during the inspection process? </w:t>
      </w:r>
      <w:r>
        <w:rPr>
          <w:rFonts w:cs="Arial"/>
          <w:bCs/>
          <w:szCs w:val="22"/>
        </w:rPr>
        <w:t xml:space="preserve"> </w:t>
      </w:r>
      <w:r w:rsidRPr="00420EEA">
        <w:rPr>
          <w:rFonts w:cs="Arial"/>
          <w:bCs/>
          <w:szCs w:val="22"/>
        </w:rPr>
        <w:t xml:space="preserve">What is the earliest point in the process where the problem could have been detected but was not? </w:t>
      </w:r>
      <w:r>
        <w:rPr>
          <w:rFonts w:cs="Arial"/>
          <w:bCs/>
          <w:szCs w:val="22"/>
        </w:rPr>
        <w:t xml:space="preserve"> </w:t>
      </w:r>
      <w:r w:rsidRPr="00420EEA">
        <w:rPr>
          <w:rFonts w:cs="Arial"/>
          <w:bCs/>
          <w:szCs w:val="22"/>
        </w:rPr>
        <w:t>Are there potentially multiple root causes interacting</w:t>
      </w:r>
      <w:r>
        <w:rPr>
          <w:rFonts w:cs="Arial"/>
          <w:bCs/>
          <w:szCs w:val="22"/>
        </w:rPr>
        <w:t>?</w:t>
      </w:r>
    </w:p>
    <w:p w14:paraId="65A9FCA6" w14:textId="156D274B" w:rsidR="00771799" w:rsidRPr="00727EB3" w:rsidRDefault="00771799" w:rsidP="00771799">
      <w:pPr>
        <w:pStyle w:val="kj041234"/>
        <w:ind w:hanging="1080"/>
      </w:pPr>
      <w:r w:rsidRPr="00420EEA">
        <w:rPr>
          <w:rFonts w:cs="Arial"/>
          <w:bCs/>
          <w:szCs w:val="22"/>
        </w:rPr>
        <w:t>Based on root cause</w:t>
      </w:r>
      <w:r>
        <w:rPr>
          <w:rFonts w:cs="Arial"/>
          <w:bCs/>
          <w:szCs w:val="22"/>
        </w:rPr>
        <w:t xml:space="preserve">, </w:t>
      </w:r>
      <w:r w:rsidRPr="00420EEA">
        <w:rPr>
          <w:rFonts w:cs="Arial"/>
          <w:bCs/>
          <w:szCs w:val="22"/>
        </w:rPr>
        <w:t>define the best solution to implement in order to eliminate the issue at the source.</w:t>
      </w:r>
      <w:r>
        <w:rPr>
          <w:rFonts w:cs="Arial"/>
          <w:bCs/>
          <w:szCs w:val="22"/>
        </w:rPr>
        <w:t xml:space="preserve">  </w:t>
      </w:r>
      <w:r w:rsidRPr="00420EEA">
        <w:rPr>
          <w:rFonts w:cs="Arial"/>
          <w:bCs/>
          <w:szCs w:val="22"/>
        </w:rPr>
        <w:t xml:space="preserve">Take into consideration potential undesirable side effects of your corrective action. </w:t>
      </w:r>
      <w:r>
        <w:rPr>
          <w:rFonts w:cs="Arial"/>
          <w:bCs/>
          <w:szCs w:val="22"/>
        </w:rPr>
        <w:t xml:space="preserve"> </w:t>
      </w:r>
      <w:r w:rsidRPr="00420EEA">
        <w:rPr>
          <w:rFonts w:cs="Arial"/>
          <w:bCs/>
          <w:szCs w:val="22"/>
        </w:rPr>
        <w:t xml:space="preserve">Define what metrics can be used to verify if it is successful. </w:t>
      </w:r>
      <w:r>
        <w:rPr>
          <w:rFonts w:cs="Arial"/>
          <w:bCs/>
          <w:szCs w:val="22"/>
        </w:rPr>
        <w:t xml:space="preserve"> </w:t>
      </w:r>
      <w:r w:rsidRPr="00420EEA">
        <w:rPr>
          <w:rFonts w:cs="Arial"/>
          <w:bCs/>
          <w:szCs w:val="22"/>
        </w:rPr>
        <w:t xml:space="preserve">Will the corrective action affect ‘Copy Exact’ rules as </w:t>
      </w:r>
      <w:r w:rsidRPr="00E742DB">
        <w:rPr>
          <w:rFonts w:cs="Arial"/>
          <w:bCs/>
          <w:szCs w:val="22"/>
        </w:rPr>
        <w:t>identified in Section 6.5</w:t>
      </w:r>
      <w:r>
        <w:rPr>
          <w:rFonts w:cs="Arial"/>
          <w:bCs/>
          <w:szCs w:val="22"/>
        </w:rPr>
        <w:t>?</w:t>
      </w:r>
    </w:p>
    <w:p w14:paraId="120BD7C8" w14:textId="5985AF5B" w:rsidR="00727EB3" w:rsidRPr="00727EB3" w:rsidRDefault="00727EB3" w:rsidP="00771799">
      <w:pPr>
        <w:pStyle w:val="kj041234"/>
        <w:ind w:hanging="1080"/>
      </w:pPr>
      <w:r w:rsidRPr="00420EEA">
        <w:rPr>
          <w:rFonts w:cs="Arial"/>
          <w:bCs/>
          <w:szCs w:val="22"/>
        </w:rPr>
        <w:t>Verification and validation of the corrective action should be able to demonstrate the ability to turn the problem on and off</w:t>
      </w:r>
      <w:r>
        <w:rPr>
          <w:rFonts w:cs="Arial"/>
          <w:bCs/>
          <w:szCs w:val="22"/>
        </w:rPr>
        <w:t>.</w:t>
      </w:r>
    </w:p>
    <w:p w14:paraId="70820F29" w14:textId="34834D77" w:rsidR="00727EB3" w:rsidRPr="00727EB3" w:rsidRDefault="00727EB3" w:rsidP="00771799">
      <w:pPr>
        <w:pStyle w:val="kj041234"/>
        <w:ind w:hanging="1080"/>
      </w:pPr>
      <w:r w:rsidRPr="00420EEA">
        <w:rPr>
          <w:rFonts w:cs="Arial"/>
          <w:bCs/>
          <w:szCs w:val="22"/>
        </w:rPr>
        <w:t xml:space="preserve">As part of the verification of the corrective action effectiveness a new first article inspection report (FAIR) may be required. </w:t>
      </w:r>
      <w:r>
        <w:rPr>
          <w:rFonts w:cs="Arial"/>
          <w:bCs/>
          <w:szCs w:val="22"/>
        </w:rPr>
        <w:t xml:space="preserve"> </w:t>
      </w:r>
      <w:r w:rsidRPr="00420EEA">
        <w:rPr>
          <w:rFonts w:cs="Arial"/>
          <w:bCs/>
          <w:szCs w:val="22"/>
        </w:rPr>
        <w:t>All supplier documentation of the manufacturing and/or inspection processes (e.g., routers, work instructions, inspection plans, maintenance plans, etc.) will need to be updated including training records to officially communicate the change</w:t>
      </w:r>
      <w:r>
        <w:rPr>
          <w:rFonts w:cs="Arial"/>
          <w:bCs/>
          <w:szCs w:val="22"/>
        </w:rPr>
        <w:t>.</w:t>
      </w:r>
    </w:p>
    <w:p w14:paraId="2161A93D" w14:textId="0A1D08B7" w:rsidR="00727EB3" w:rsidRDefault="00727EB3" w:rsidP="00771799">
      <w:pPr>
        <w:pStyle w:val="kj041234"/>
        <w:ind w:hanging="1080"/>
      </w:pPr>
      <w:r w:rsidRPr="00420EEA">
        <w:rPr>
          <w:rFonts w:cs="Arial"/>
          <w:bCs/>
          <w:szCs w:val="22"/>
        </w:rPr>
        <w:t>Verify if the corrective action can be standardized across similar products and document lessons learned so that future product will not have the same issue</w:t>
      </w:r>
      <w:r>
        <w:rPr>
          <w:rFonts w:cs="Arial"/>
          <w:bCs/>
          <w:szCs w:val="22"/>
        </w:rPr>
        <w:t>.</w:t>
      </w:r>
    </w:p>
    <w:p w14:paraId="558E7E60" w14:textId="67D1184E" w:rsidR="004A40FB" w:rsidRPr="005B09ED" w:rsidRDefault="005B09ED" w:rsidP="005B09ED">
      <w:pPr>
        <w:pStyle w:val="kj03123"/>
        <w:tabs>
          <w:tab w:val="clear" w:pos="360"/>
          <w:tab w:val="clear" w:pos="1267"/>
          <w:tab w:val="num" w:pos="1260"/>
        </w:tabs>
      </w:pPr>
      <w:r w:rsidRPr="00420EEA">
        <w:rPr>
          <w:bCs/>
          <w:szCs w:val="22"/>
        </w:rPr>
        <w:t>Corrective action responses should be returned to the Supply Chain Sourcing and/or Procurement Specialist and VE via e-mail (</w:t>
      </w:r>
      <w:hyperlink r:id="rId28" w:history="1">
        <w:r w:rsidRPr="000662EA">
          <w:rPr>
            <w:rStyle w:val="Hyperlink"/>
            <w:bCs/>
            <w:szCs w:val="22"/>
          </w:rPr>
          <w:t>supplier.quality@gtweed.com</w:t>
        </w:r>
      </w:hyperlink>
      <w:r w:rsidRPr="00420EEA">
        <w:rPr>
          <w:bCs/>
          <w:szCs w:val="22"/>
        </w:rPr>
        <w:t>).</w:t>
      </w:r>
      <w:r>
        <w:rPr>
          <w:bCs/>
          <w:szCs w:val="22"/>
        </w:rPr>
        <w:t xml:space="preserve"> </w:t>
      </w:r>
      <w:r w:rsidRPr="00420EEA">
        <w:rPr>
          <w:bCs/>
          <w:szCs w:val="22"/>
        </w:rPr>
        <w:t xml:space="preserve"> Any parts that are requested to be reworked to bring into specification should also have a copy of the QN attached by the supplier to identify such parts as rework from a prior issue when returned to GT</w:t>
      </w:r>
      <w:r>
        <w:rPr>
          <w:bCs/>
          <w:szCs w:val="22"/>
        </w:rPr>
        <w:t>.</w:t>
      </w:r>
    </w:p>
    <w:p w14:paraId="1E701107" w14:textId="683B4F11" w:rsidR="005B09ED" w:rsidRPr="005B09ED" w:rsidRDefault="005B09ED" w:rsidP="005B09ED">
      <w:pPr>
        <w:pStyle w:val="kj03123"/>
        <w:tabs>
          <w:tab w:val="clear" w:pos="360"/>
          <w:tab w:val="clear" w:pos="1267"/>
          <w:tab w:val="num" w:pos="1260"/>
        </w:tabs>
      </w:pPr>
      <w:r w:rsidRPr="00420EEA">
        <w:rPr>
          <w:bCs/>
          <w:szCs w:val="22"/>
        </w:rPr>
        <w:t xml:space="preserve">‘Closure’ of the SCAR is dependent upon when objective evidence is available to support an adequate evaluation of effectiveness and will vary in length. </w:t>
      </w:r>
      <w:r>
        <w:rPr>
          <w:bCs/>
          <w:szCs w:val="22"/>
        </w:rPr>
        <w:t xml:space="preserve"> </w:t>
      </w:r>
      <w:r w:rsidRPr="00420EEA">
        <w:rPr>
          <w:bCs/>
          <w:szCs w:val="22"/>
        </w:rPr>
        <w:t>The action(s) to be completed and the time frame is determined by the responsible persons for each action</w:t>
      </w:r>
      <w:r>
        <w:rPr>
          <w:bCs/>
          <w:szCs w:val="22"/>
        </w:rPr>
        <w:t>.</w:t>
      </w:r>
    </w:p>
    <w:p w14:paraId="4BFDA57C" w14:textId="2ABEB317" w:rsidR="005B09ED" w:rsidRDefault="00232F72" w:rsidP="005B09ED">
      <w:pPr>
        <w:pStyle w:val="kj03123"/>
        <w:tabs>
          <w:tab w:val="clear" w:pos="360"/>
          <w:tab w:val="clear" w:pos="1267"/>
          <w:tab w:val="num" w:pos="1260"/>
        </w:tabs>
      </w:pPr>
      <w:r w:rsidRPr="00420EEA">
        <w:rPr>
          <w:bCs/>
          <w:szCs w:val="22"/>
        </w:rPr>
        <w:t>The action plan for each SCAR is reviewed for effectiveness by th</w:t>
      </w:r>
      <w:r>
        <w:rPr>
          <w:bCs/>
          <w:szCs w:val="22"/>
        </w:rPr>
        <w:t xml:space="preserve">e </w:t>
      </w:r>
      <w:r w:rsidRPr="00420EEA">
        <w:rPr>
          <w:bCs/>
          <w:szCs w:val="22"/>
        </w:rPr>
        <w:t>VE</w:t>
      </w:r>
      <w:r>
        <w:rPr>
          <w:bCs/>
          <w:szCs w:val="22"/>
        </w:rPr>
        <w:t xml:space="preserve"> Team</w:t>
      </w:r>
      <w:r w:rsidRPr="00420EEA">
        <w:rPr>
          <w:bCs/>
          <w:szCs w:val="22"/>
        </w:rPr>
        <w:t>. SCAR’s that are deemed not effective will be returned to the responsible party for additional action plans to implement lasting and effective solutions</w:t>
      </w:r>
      <w:r w:rsidR="005B09ED">
        <w:rPr>
          <w:bCs/>
          <w:szCs w:val="22"/>
        </w:rPr>
        <w:t>.</w:t>
      </w:r>
    </w:p>
    <w:p w14:paraId="639398DB" w14:textId="31240CE1" w:rsidR="004A40FB" w:rsidRDefault="00AF2EB5" w:rsidP="00AF2EB5">
      <w:pPr>
        <w:pStyle w:val="kj0212"/>
        <w:tabs>
          <w:tab w:val="clear" w:pos="360"/>
          <w:tab w:val="clear" w:pos="547"/>
          <w:tab w:val="num" w:pos="540"/>
        </w:tabs>
      </w:pPr>
      <w:bookmarkStart w:id="54" w:name="_Toc161133596"/>
      <w:r>
        <w:t>Deviation and Waiver Requests</w:t>
      </w:r>
      <w:bookmarkEnd w:id="54"/>
    </w:p>
    <w:p w14:paraId="5024123E" w14:textId="33ACC2B8" w:rsidR="004A40FB" w:rsidRPr="004C4E3C" w:rsidRDefault="00AF2EB5" w:rsidP="00AF2EB5">
      <w:pPr>
        <w:pStyle w:val="kj03123"/>
        <w:tabs>
          <w:tab w:val="clear" w:pos="360"/>
          <w:tab w:val="clear" w:pos="1267"/>
          <w:tab w:val="num" w:pos="1260"/>
        </w:tabs>
      </w:pPr>
      <w:r w:rsidRPr="00420EEA">
        <w:rPr>
          <w:bCs/>
          <w:szCs w:val="22"/>
        </w:rPr>
        <w:t xml:space="preserve">In the case that the supplier identifies a non-conformance or otherwise questionable attribute in their supplied product, they will need to submit a supplier deviation/waiver request (SDR form # FR-GP-0000- 00.012) to allow shipment to GT. </w:t>
      </w:r>
      <w:r>
        <w:rPr>
          <w:bCs/>
          <w:szCs w:val="22"/>
        </w:rPr>
        <w:t xml:space="preserve"> </w:t>
      </w:r>
      <w:r w:rsidRPr="00420EEA">
        <w:rPr>
          <w:bCs/>
          <w:szCs w:val="22"/>
        </w:rPr>
        <w:t xml:space="preserve">The supplier should contact their GT Supply Chain Sourcing and/or Procurement specialist to notify them of the situation and request a GT SDR form (latest revision form to be provided by GT Supply Chain).  On this form the supplier shall provide as much detail as possible including the part number, lot number, quantity, purchase order number, description of the nonconformance, root cause </w:t>
      </w:r>
      <w:r>
        <w:rPr>
          <w:bCs/>
          <w:szCs w:val="22"/>
        </w:rPr>
        <w:t>and</w:t>
      </w:r>
      <w:r w:rsidRPr="00420EEA">
        <w:rPr>
          <w:bCs/>
          <w:szCs w:val="22"/>
        </w:rPr>
        <w:t xml:space="preserve"> corrective action, the "Requested By" person and date, then submits this to GT Supply Chain for evaluation prior to shipping the product to GT. </w:t>
      </w:r>
      <w:r>
        <w:rPr>
          <w:bCs/>
          <w:szCs w:val="22"/>
        </w:rPr>
        <w:t xml:space="preserve"> </w:t>
      </w:r>
      <w:r w:rsidRPr="00420EEA">
        <w:rPr>
          <w:bCs/>
          <w:szCs w:val="22"/>
        </w:rPr>
        <w:t>The supplier should also include at this time any information on lead time for new product if the deviation/waiver request is rejected</w:t>
      </w:r>
      <w:r>
        <w:rPr>
          <w:bCs/>
          <w:szCs w:val="22"/>
        </w:rPr>
        <w:t>.</w:t>
      </w:r>
    </w:p>
    <w:p w14:paraId="40D3BA38" w14:textId="0EF4EBC4" w:rsidR="004C4E3C" w:rsidRDefault="004C4E3C" w:rsidP="00AF2EB5">
      <w:pPr>
        <w:pStyle w:val="kj03123"/>
        <w:tabs>
          <w:tab w:val="clear" w:pos="360"/>
          <w:tab w:val="clear" w:pos="1267"/>
          <w:tab w:val="num" w:pos="1260"/>
        </w:tabs>
      </w:pPr>
      <w:r w:rsidRPr="00420EEA">
        <w:rPr>
          <w:bCs/>
          <w:szCs w:val="22"/>
        </w:rPr>
        <w:t xml:space="preserve">Upon disposition of the deviation/waiver, the GT Supply Chain Sourcing and/or Procurement specialist will contact the supplier and notify them of the acceptance or rejection. </w:t>
      </w:r>
      <w:r>
        <w:rPr>
          <w:bCs/>
          <w:szCs w:val="22"/>
        </w:rPr>
        <w:t xml:space="preserve"> </w:t>
      </w:r>
      <w:r w:rsidRPr="00420EEA">
        <w:rPr>
          <w:bCs/>
          <w:szCs w:val="22"/>
        </w:rPr>
        <w:t>If the deviation/waiver request is accepted, then a signed copy of the form will be e-mailed or faxed to the supplier which will allow them to ship the parts.</w:t>
      </w:r>
      <w:r>
        <w:rPr>
          <w:bCs/>
          <w:szCs w:val="22"/>
        </w:rPr>
        <w:t xml:space="preserve"> </w:t>
      </w:r>
      <w:r w:rsidRPr="00420EEA">
        <w:rPr>
          <w:bCs/>
          <w:szCs w:val="22"/>
        </w:rPr>
        <w:t xml:space="preserve"> A copy of the signed deviation/waiver form must be included and stapled to the front of the packing list documents when shipping the product to GT</w:t>
      </w:r>
      <w:r>
        <w:rPr>
          <w:bCs/>
          <w:szCs w:val="22"/>
        </w:rPr>
        <w:t>.</w:t>
      </w:r>
    </w:p>
    <w:p w14:paraId="39811BC8" w14:textId="6EC243B9" w:rsidR="004A40FB" w:rsidRDefault="004C4E3C" w:rsidP="004C4E3C">
      <w:pPr>
        <w:pStyle w:val="kj03123"/>
        <w:tabs>
          <w:tab w:val="clear" w:pos="360"/>
          <w:tab w:val="clear" w:pos="1267"/>
          <w:tab w:val="left" w:pos="1260"/>
        </w:tabs>
      </w:pPr>
      <w:r w:rsidRPr="00420EEA">
        <w:rPr>
          <w:bCs/>
          <w:szCs w:val="22"/>
        </w:rPr>
        <w:t xml:space="preserve">In some cases, a disposition cannot be made until the discrepant parts are looked at by GT Engineering. </w:t>
      </w:r>
      <w:r>
        <w:rPr>
          <w:bCs/>
          <w:szCs w:val="22"/>
        </w:rPr>
        <w:t xml:space="preserve"> </w:t>
      </w:r>
      <w:r w:rsidRPr="00420EEA">
        <w:rPr>
          <w:bCs/>
          <w:szCs w:val="22"/>
        </w:rPr>
        <w:t xml:space="preserve">In these circumstances, GT Supply Chain shall notify the supplier that they should ship parts for investigation. </w:t>
      </w:r>
      <w:r>
        <w:rPr>
          <w:bCs/>
          <w:szCs w:val="22"/>
        </w:rPr>
        <w:t xml:space="preserve"> </w:t>
      </w:r>
      <w:r w:rsidRPr="00420EEA">
        <w:rPr>
          <w:bCs/>
          <w:szCs w:val="22"/>
        </w:rPr>
        <w:t>A copy of the unapproved deviation/waiver shall be included and stapled to the front of the packing list documents with a note in the approval box stating, ‘Approval pending GT investigation, Send to MRB’</w:t>
      </w:r>
      <w:r>
        <w:rPr>
          <w:bCs/>
          <w:szCs w:val="22"/>
        </w:rPr>
        <w:t>.</w:t>
      </w:r>
    </w:p>
    <w:p w14:paraId="7C477BBF" w14:textId="77777777" w:rsidR="004C4E3C" w:rsidRDefault="001D5FBA" w:rsidP="004C4E3C">
      <w:hyperlink w:anchor="TableOfContents" w:history="1">
        <w:r w:rsidR="004C4E3C" w:rsidRPr="00066290">
          <w:rPr>
            <w:rStyle w:val="Hyperlink"/>
            <w:rFonts w:cs="Arial"/>
            <w:sz w:val="16"/>
            <w:szCs w:val="14"/>
          </w:rPr>
          <w:t>Return to Table of Contents</w:t>
        </w:r>
      </w:hyperlink>
      <w:r w:rsidR="004C4E3C">
        <w:br w:type="page"/>
      </w:r>
    </w:p>
    <w:bookmarkStart w:id="55" w:name="_Toc161133597"/>
    <w:p w14:paraId="712756CE" w14:textId="5BC63EAF" w:rsidR="004A40FB" w:rsidRDefault="00720937" w:rsidP="00720937">
      <w:pPr>
        <w:pStyle w:val="kj0212"/>
        <w:tabs>
          <w:tab w:val="clear" w:pos="360"/>
          <w:tab w:val="clear" w:pos="547"/>
          <w:tab w:val="num" w:pos="540"/>
        </w:tabs>
      </w:pPr>
      <w:r w:rsidRPr="00865577">
        <w:rPr>
          <w:noProof/>
        </w:rPr>
        <mc:AlternateContent>
          <mc:Choice Requires="wps">
            <w:drawing>
              <wp:anchor distT="45720" distB="45720" distL="114300" distR="114300" simplePos="0" relativeHeight="251705344" behindDoc="0" locked="0" layoutInCell="1" allowOverlap="1" wp14:anchorId="5F5FA10E" wp14:editId="2D8F1C2F">
                <wp:simplePos x="0" y="0"/>
                <wp:positionH relativeFrom="column">
                  <wp:posOffset>-390525</wp:posOffset>
                </wp:positionH>
                <wp:positionV relativeFrom="paragraph">
                  <wp:posOffset>-40640</wp:posOffset>
                </wp:positionV>
                <wp:extent cx="365760" cy="1404620"/>
                <wp:effectExtent l="0" t="0" r="0" b="8890"/>
                <wp:wrapNone/>
                <wp:docPr id="10234445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404620"/>
                        </a:xfrm>
                        <a:prstGeom prst="rect">
                          <a:avLst/>
                        </a:prstGeom>
                        <a:solidFill>
                          <a:srgbClr val="FFFFFF"/>
                        </a:solidFill>
                        <a:ln w="9525">
                          <a:noFill/>
                          <a:miter lim="800000"/>
                          <a:headEnd/>
                          <a:tailEnd/>
                        </a:ln>
                      </wps:spPr>
                      <wps:txbx>
                        <w:txbxContent>
                          <w:p w14:paraId="131EE28A" w14:textId="77777777" w:rsidR="00720937" w:rsidRPr="006659B4" w:rsidRDefault="00720937" w:rsidP="00720937">
                            <w:pPr>
                              <w:tabs>
                                <w:tab w:val="left" w:pos="187"/>
                                <w:tab w:val="left" w:pos="547"/>
                                <w:tab w:val="left" w:pos="1267"/>
                                <w:tab w:val="left" w:pos="2160"/>
                                <w:tab w:val="left" w:pos="3240"/>
                                <w:tab w:val="left" w:pos="4320"/>
                                <w:tab w:val="left" w:pos="5760"/>
                                <w:tab w:val="left" w:pos="7387"/>
                              </w:tabs>
                              <w:jc w:val="right"/>
                              <w:rPr>
                                <w:rFonts w:cs="Arial"/>
                              </w:rPr>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5FA10E" id="_x0000_s1042" type="#_x0000_t202" style="position:absolute;left:0;text-align:left;margin-left:-30.75pt;margin-top:-3.2pt;width:28.8pt;height:110.6pt;z-index:251705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cDEgIAAP4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" stroked="f">
                <v:textbox style="mso-fit-shape-to-text:t">
                  <w:txbxContent>
                    <w:p w14:paraId="131EE28A" w14:textId="77777777" w:rsidR="00720937" w:rsidRPr="006659B4" w:rsidRDefault="00720937" w:rsidP="00720937">
                      <w:pPr>
                        <w:tabs>
                          <w:tab w:val="left" w:pos="187"/>
                          <w:tab w:val="left" w:pos="547"/>
                          <w:tab w:val="left" w:pos="1267"/>
                          <w:tab w:val="left" w:pos="2160"/>
                          <w:tab w:val="left" w:pos="3240"/>
                          <w:tab w:val="left" w:pos="4320"/>
                          <w:tab w:val="left" w:pos="5760"/>
                          <w:tab w:val="left" w:pos="7387"/>
                        </w:tabs>
                        <w:jc w:val="right"/>
                        <w:rPr>
                          <w:rFonts w:cs="Arial"/>
                        </w:rPr>
                      </w:pPr>
                      <w:r>
                        <w:t>|</w:t>
                      </w:r>
                    </w:p>
                  </w:txbxContent>
                </v:textbox>
              </v:shape>
            </w:pict>
          </mc:Fallback>
        </mc:AlternateContent>
      </w:r>
      <w:r>
        <w:t>Foreign Object Damage/Debris (FOD/</w:t>
      </w:r>
      <w:proofErr w:type="spellStart"/>
      <w:r>
        <w:t>FOd</w:t>
      </w:r>
      <w:proofErr w:type="spellEnd"/>
      <w:r>
        <w:t>) Prevention</w:t>
      </w:r>
      <w:bookmarkEnd w:id="55"/>
    </w:p>
    <w:p w14:paraId="09679B29" w14:textId="6BDC72FB" w:rsidR="004A40FB" w:rsidRDefault="008338FC" w:rsidP="008338FC">
      <w:pPr>
        <w:pStyle w:val="kj03123"/>
        <w:tabs>
          <w:tab w:val="clear" w:pos="360"/>
          <w:tab w:val="clear" w:pos="1267"/>
          <w:tab w:val="num" w:pos="1260"/>
        </w:tabs>
      </w:pPr>
      <w:r w:rsidRPr="008338FC">
        <w:t xml:space="preserve">Companies can have varying levels of what can be considered a FOD Prevention program (Housekeeping / Cleanliness Initiatives, Equipment Storage Practices, </w:t>
      </w:r>
      <w:r w:rsidR="0086105D">
        <w:t>6</w:t>
      </w:r>
      <w:r w:rsidRPr="008338FC">
        <w:t xml:space="preserve">S, etc.). </w:t>
      </w:r>
      <w:r>
        <w:t xml:space="preserve"> </w:t>
      </w:r>
      <w:r w:rsidRPr="008338FC">
        <w:t>Suppliers are expected to have systems / processes in place to prevent contamination and product damage for the materials being provided to GT</w:t>
      </w:r>
      <w:r>
        <w:t>.</w:t>
      </w:r>
    </w:p>
    <w:p w14:paraId="7176D006" w14:textId="67357EB4" w:rsidR="008338FC" w:rsidRPr="0086105D" w:rsidRDefault="0086105D" w:rsidP="0086105D">
      <w:pPr>
        <w:pStyle w:val="kj03123"/>
      </w:pPr>
      <w:r w:rsidRPr="0086105D">
        <w:t xml:space="preserve">AS9100D states any FOD program has steps to prevent, detect, and remove foreign objects while AS13100 requires adherence to AS9146 for aviation, space, and defense customers. </w:t>
      </w:r>
      <w:r>
        <w:t xml:space="preserve"> </w:t>
      </w:r>
      <w:r w:rsidRPr="0086105D">
        <w:t>While this is not a general requirement for all GT suppliers, it can be expected of those who provide materials in these industries and will be stated in contracts or PO’s</w:t>
      </w:r>
      <w:r w:rsidR="008338FC" w:rsidRPr="0086105D">
        <w:t>.</w:t>
      </w:r>
    </w:p>
    <w:p w14:paraId="27217D7D" w14:textId="6AFA6AB1" w:rsidR="004A120C" w:rsidRPr="004A120C" w:rsidRDefault="004A120C" w:rsidP="004A120C">
      <w:pPr>
        <w:pStyle w:val="kj03123"/>
        <w:tabs>
          <w:tab w:val="clear" w:pos="360"/>
          <w:tab w:val="clear" w:pos="1267"/>
          <w:tab w:val="num" w:pos="1260"/>
        </w:tabs>
      </w:pPr>
      <w:r w:rsidRPr="004A120C">
        <w:t>To be compliant with AS9146, a FOD program will consist of 8 elements outlined in Clause 4:</w:t>
      </w:r>
    </w:p>
    <w:p w14:paraId="40BA2578" w14:textId="3A389CFF" w:rsidR="004A40FB" w:rsidRDefault="004A120C" w:rsidP="004A120C">
      <w:pPr>
        <w:pStyle w:val="kj041234"/>
        <w:ind w:hanging="1080"/>
      </w:pPr>
      <w:r w:rsidRPr="004A120C">
        <w:t xml:space="preserve">Program Management: </w:t>
      </w:r>
      <w:r>
        <w:t xml:space="preserve"> </w:t>
      </w:r>
      <w:r w:rsidRPr="004A120C">
        <w:t>Establishing and documenting a site-specific FOD Prevention Program.</w:t>
      </w:r>
    </w:p>
    <w:p w14:paraId="4027AA31" w14:textId="7E436FD3" w:rsidR="004A120C" w:rsidRPr="004A120C" w:rsidRDefault="004A120C" w:rsidP="004A120C">
      <w:pPr>
        <w:pStyle w:val="kj041234"/>
        <w:ind w:hanging="1080"/>
      </w:pPr>
      <w:r w:rsidRPr="004A120C">
        <w:t xml:space="preserve">Operations: </w:t>
      </w:r>
      <w:r>
        <w:t xml:space="preserve"> </w:t>
      </w:r>
      <w:r w:rsidRPr="004A120C">
        <w:t>Establishing appropriate processes for cleaning and inspecting products.</w:t>
      </w:r>
    </w:p>
    <w:p w14:paraId="4CB8FAE8" w14:textId="7C25E38A" w:rsidR="004A120C" w:rsidRPr="004A120C" w:rsidRDefault="004A120C" w:rsidP="004A120C">
      <w:pPr>
        <w:pStyle w:val="kj041234"/>
        <w:ind w:hanging="1080"/>
      </w:pPr>
      <w:r w:rsidRPr="004A120C">
        <w:t xml:space="preserve">Area Designation: </w:t>
      </w:r>
      <w:r>
        <w:t xml:space="preserve"> </w:t>
      </w:r>
      <w:r w:rsidRPr="004A120C">
        <w:t>Areas within facility documented as Clean Rooms, Semi-Clean Rooms, General Plant Operations, FOD-exempt Zone, etc.</w:t>
      </w:r>
    </w:p>
    <w:p w14:paraId="6F7E7FB4" w14:textId="7CF6107F" w:rsidR="004A120C" w:rsidRPr="004A120C" w:rsidRDefault="004A120C" w:rsidP="004A120C">
      <w:pPr>
        <w:pStyle w:val="kj041234"/>
        <w:ind w:hanging="1080"/>
      </w:pPr>
      <w:r w:rsidRPr="004A120C">
        <w:t xml:space="preserve">Training </w:t>
      </w:r>
      <w:r>
        <w:t>and</w:t>
      </w:r>
      <w:r w:rsidRPr="004A120C">
        <w:t xml:space="preserve"> Personnel Access: </w:t>
      </w:r>
      <w:r>
        <w:t xml:space="preserve"> </w:t>
      </w:r>
      <w:r w:rsidRPr="004A120C">
        <w:t xml:space="preserve">Documented ongoing training for all employees. </w:t>
      </w:r>
      <w:r>
        <w:t xml:space="preserve"> </w:t>
      </w:r>
      <w:r w:rsidRPr="004A120C">
        <w:t>Non-employees entering FOD areas will be briefed as to prevention requirements applicable to that area.</w:t>
      </w:r>
    </w:p>
    <w:p w14:paraId="62F60C08" w14:textId="06E3D7F8" w:rsidR="004A120C" w:rsidRPr="004A120C" w:rsidRDefault="004A120C" w:rsidP="004A120C">
      <w:pPr>
        <w:pStyle w:val="kj041234"/>
        <w:ind w:hanging="1080"/>
      </w:pPr>
      <w:r w:rsidRPr="004A120C">
        <w:t xml:space="preserve">Product Protection: </w:t>
      </w:r>
      <w:r>
        <w:t xml:space="preserve"> </w:t>
      </w:r>
      <w:r w:rsidRPr="004A120C">
        <w:t>Appropriate protection for materials being produced.</w:t>
      </w:r>
    </w:p>
    <w:p w14:paraId="143881A0" w14:textId="6DE0F412" w:rsidR="004A120C" w:rsidRPr="004A120C" w:rsidRDefault="004A120C" w:rsidP="004A120C">
      <w:pPr>
        <w:pStyle w:val="kj041234"/>
        <w:ind w:hanging="1080"/>
      </w:pPr>
      <w:r w:rsidRPr="004A120C">
        <w:t xml:space="preserve">Housekeeping and Clean-As-You-Go: </w:t>
      </w:r>
      <w:r>
        <w:t xml:space="preserve"> </w:t>
      </w:r>
      <w:r w:rsidRPr="004A120C">
        <w:t>Housekeeping requirements will be established and documented.</w:t>
      </w:r>
    </w:p>
    <w:p w14:paraId="56D18E1F" w14:textId="42927B22" w:rsidR="004A120C" w:rsidRPr="004A120C" w:rsidRDefault="004A120C" w:rsidP="004A120C">
      <w:pPr>
        <w:pStyle w:val="kj041234"/>
        <w:ind w:hanging="1080"/>
      </w:pPr>
      <w:r w:rsidRPr="004A120C">
        <w:t xml:space="preserve">Consumables, Hardware </w:t>
      </w:r>
      <w:r w:rsidR="0030133D">
        <w:t>and</w:t>
      </w:r>
      <w:r w:rsidRPr="004A120C">
        <w:t xml:space="preserve"> Personal Items – Accountability and Control:  All lost consumables, hardware and personal items must be reported for investigation for potential FOD risk to the product.</w:t>
      </w:r>
    </w:p>
    <w:p w14:paraId="76D5840D" w14:textId="6E399DCE" w:rsidR="004A120C" w:rsidRPr="004A120C" w:rsidRDefault="004A120C" w:rsidP="004A120C">
      <w:pPr>
        <w:pStyle w:val="kj041234"/>
        <w:ind w:hanging="1080"/>
      </w:pPr>
      <w:r w:rsidRPr="004A120C">
        <w:t xml:space="preserve">Tool Accountability </w:t>
      </w:r>
      <w:r>
        <w:t xml:space="preserve">and </w:t>
      </w:r>
      <w:r w:rsidRPr="004A120C">
        <w:t xml:space="preserve">Control: </w:t>
      </w:r>
      <w:r>
        <w:t xml:space="preserve"> </w:t>
      </w:r>
      <w:r w:rsidRPr="004A120C">
        <w:t>All tools used in the manufacture of product must be stored and maintained as appropriate to maintain accountability and control, to minimize the chances for creating a FOD situation</w:t>
      </w:r>
      <w:r>
        <w:t>.</w:t>
      </w:r>
    </w:p>
    <w:p w14:paraId="64837531" w14:textId="3D3AC9BF" w:rsidR="004A40FB" w:rsidRPr="00C07B88" w:rsidRDefault="00C07B88" w:rsidP="00C07B88">
      <w:pPr>
        <w:pStyle w:val="kj03123"/>
        <w:tabs>
          <w:tab w:val="clear" w:pos="360"/>
          <w:tab w:val="clear" w:pos="1267"/>
          <w:tab w:val="num" w:pos="1260"/>
        </w:tabs>
      </w:pPr>
      <w:r w:rsidRPr="00C07B88">
        <w:t>For complete details, reference AS9146 standard</w:t>
      </w:r>
      <w:r>
        <w:t>.</w:t>
      </w:r>
    </w:p>
    <w:p w14:paraId="7BF5CB97" w14:textId="2071D820" w:rsidR="00771799" w:rsidRDefault="00C07B88" w:rsidP="00C07B88">
      <w:pPr>
        <w:pStyle w:val="kj0212"/>
        <w:tabs>
          <w:tab w:val="clear" w:pos="360"/>
          <w:tab w:val="clear" w:pos="547"/>
          <w:tab w:val="num" w:pos="540"/>
        </w:tabs>
      </w:pPr>
      <w:bookmarkStart w:id="56" w:name="_Toc161133598"/>
      <w:r>
        <w:t>GT Owned Material (Subcontract and Consignment)</w:t>
      </w:r>
      <w:bookmarkEnd w:id="56"/>
    </w:p>
    <w:p w14:paraId="022940F6" w14:textId="28153582" w:rsidR="00771799" w:rsidRPr="00C07B88" w:rsidRDefault="00C07B88" w:rsidP="00C07B88">
      <w:pPr>
        <w:pStyle w:val="kj03123"/>
        <w:tabs>
          <w:tab w:val="clear" w:pos="360"/>
          <w:tab w:val="clear" w:pos="1267"/>
          <w:tab w:val="num" w:pos="1260"/>
        </w:tabs>
      </w:pPr>
      <w:r w:rsidRPr="00420EEA">
        <w:rPr>
          <w:bCs/>
          <w:szCs w:val="22"/>
        </w:rPr>
        <w:t xml:space="preserve">Subcontract materials are shipped to and stored at Suppliers on an as needed basis/quantity and inventory shows in Supplier’s warehouse location in SAP. </w:t>
      </w:r>
      <w:r>
        <w:rPr>
          <w:bCs/>
          <w:szCs w:val="22"/>
        </w:rPr>
        <w:t xml:space="preserve"> </w:t>
      </w:r>
      <w:r w:rsidRPr="00420EEA">
        <w:rPr>
          <w:bCs/>
          <w:szCs w:val="22"/>
        </w:rPr>
        <w:t>Material is not to be utilized for customers other than GT, unless expressed written consent including the terms of this usage has been given through GT Supply Chain</w:t>
      </w:r>
      <w:r>
        <w:rPr>
          <w:bCs/>
          <w:szCs w:val="22"/>
        </w:rPr>
        <w:t>.</w:t>
      </w:r>
    </w:p>
    <w:p w14:paraId="4C15F159" w14:textId="77777777" w:rsidR="00C07B88" w:rsidRPr="00420EEA" w:rsidRDefault="00C07B88" w:rsidP="00C07B88">
      <w:pPr>
        <w:pStyle w:val="kj03123"/>
        <w:rPr>
          <w:b/>
        </w:rPr>
      </w:pPr>
      <w:r w:rsidRPr="00420EEA">
        <w:t>Materials owned by GT should be clearly marked and properly stored.</w:t>
      </w:r>
    </w:p>
    <w:p w14:paraId="695453F9" w14:textId="1B9311EC" w:rsidR="00C07B88" w:rsidRDefault="00C07B88" w:rsidP="00C07B88">
      <w:pPr>
        <w:pStyle w:val="kj03123"/>
      </w:pPr>
      <w:r w:rsidRPr="00420EEA">
        <w:t xml:space="preserve">Suppliers shall establish and maintain documented procedures for storage, use and inventory reconciliation. </w:t>
      </w:r>
      <w:r>
        <w:t xml:space="preserve"> </w:t>
      </w:r>
      <w:r w:rsidRPr="00420EEA">
        <w:t>Suppliers shall store materials in appropriate/climate-controlled environments when required</w:t>
      </w:r>
      <w:r>
        <w:t>.</w:t>
      </w:r>
    </w:p>
    <w:p w14:paraId="092A375E" w14:textId="3E673E13" w:rsidR="00C07B88" w:rsidRDefault="00C07B88" w:rsidP="00C07B88">
      <w:pPr>
        <w:pStyle w:val="kj03123"/>
      </w:pPr>
      <w:r w:rsidRPr="00420EEA">
        <w:rPr>
          <w:bCs/>
          <w:szCs w:val="22"/>
        </w:rPr>
        <w:t xml:space="preserve">Materials are consumed upon receipt of the PO for the finished product at the GT facilities. </w:t>
      </w:r>
      <w:r>
        <w:rPr>
          <w:bCs/>
          <w:szCs w:val="22"/>
        </w:rPr>
        <w:t xml:space="preserve"> </w:t>
      </w:r>
      <w:r w:rsidRPr="00420EEA">
        <w:rPr>
          <w:bCs/>
          <w:szCs w:val="22"/>
        </w:rPr>
        <w:t>Quantities for this material (components) are displayed on the PO’s and Supplier should notify of discrepancies, over or under consumption and scrap per order to aid in inventory reconciliation. Inventory accuracy is a joint effort between Supplier and GT and should be reconciled monthly</w:t>
      </w:r>
      <w:r>
        <w:rPr>
          <w:bCs/>
          <w:szCs w:val="22"/>
        </w:rPr>
        <w:t>.</w:t>
      </w:r>
    </w:p>
    <w:p w14:paraId="3BAAFD3E" w14:textId="6A927808" w:rsidR="00771799" w:rsidRDefault="00C07B88" w:rsidP="00C07B88">
      <w:pPr>
        <w:pStyle w:val="kj0212"/>
        <w:tabs>
          <w:tab w:val="clear" w:pos="360"/>
          <w:tab w:val="clear" w:pos="547"/>
          <w:tab w:val="num" w:pos="540"/>
        </w:tabs>
      </w:pPr>
      <w:bookmarkStart w:id="57" w:name="_Toc161133599"/>
      <w:r>
        <w:t>GT Owned Tooling</w:t>
      </w:r>
      <w:bookmarkEnd w:id="57"/>
    </w:p>
    <w:p w14:paraId="1322AE7C" w14:textId="76C32963" w:rsidR="00771799" w:rsidRPr="00DB5797" w:rsidRDefault="00BF7B13" w:rsidP="00BF7B13">
      <w:pPr>
        <w:pStyle w:val="kj03123"/>
        <w:tabs>
          <w:tab w:val="clear" w:pos="360"/>
          <w:tab w:val="clear" w:pos="1267"/>
          <w:tab w:val="num" w:pos="1260"/>
        </w:tabs>
      </w:pPr>
      <w:r w:rsidRPr="00420EEA">
        <w:rPr>
          <w:bCs/>
          <w:szCs w:val="22"/>
        </w:rPr>
        <w:t xml:space="preserve">Tooling paid for by GT and used at a supplier facility may not be utilized for customers other than GT, unless expressed written consent including terms of this usage has been given through GT Supply Chain. </w:t>
      </w:r>
      <w:r w:rsidR="00DB5797">
        <w:rPr>
          <w:bCs/>
          <w:szCs w:val="22"/>
        </w:rPr>
        <w:t xml:space="preserve"> </w:t>
      </w:r>
      <w:r w:rsidRPr="00420EEA">
        <w:rPr>
          <w:bCs/>
          <w:szCs w:val="22"/>
        </w:rPr>
        <w:t xml:space="preserve">Tooling owned by GT should be clearly marked as GT property. </w:t>
      </w:r>
      <w:r w:rsidR="00DB5797">
        <w:rPr>
          <w:bCs/>
          <w:szCs w:val="22"/>
        </w:rPr>
        <w:t xml:space="preserve"> </w:t>
      </w:r>
      <w:r w:rsidRPr="00420EEA">
        <w:rPr>
          <w:bCs/>
          <w:szCs w:val="22"/>
        </w:rPr>
        <w:t>Any GT owned tooling must be surrendered back to GT upon request</w:t>
      </w:r>
      <w:r w:rsidR="00DB5797">
        <w:rPr>
          <w:bCs/>
          <w:szCs w:val="22"/>
        </w:rPr>
        <w:t>.</w:t>
      </w:r>
    </w:p>
    <w:p w14:paraId="0290C5A5" w14:textId="31772ED7" w:rsidR="00DB5797" w:rsidRPr="00DB5797" w:rsidRDefault="00DB5797" w:rsidP="00BF7B13">
      <w:pPr>
        <w:pStyle w:val="kj03123"/>
        <w:tabs>
          <w:tab w:val="clear" w:pos="360"/>
          <w:tab w:val="clear" w:pos="1267"/>
          <w:tab w:val="num" w:pos="1260"/>
        </w:tabs>
      </w:pPr>
      <w:r w:rsidRPr="00420EEA">
        <w:rPr>
          <w:bCs/>
          <w:szCs w:val="22"/>
        </w:rPr>
        <w:t xml:space="preserve">The supplier shall establish and maintain documented procedures for the verification, storage, and maintenance of GT supplied tooling. </w:t>
      </w:r>
      <w:r>
        <w:rPr>
          <w:bCs/>
          <w:szCs w:val="22"/>
        </w:rPr>
        <w:t xml:space="preserve"> </w:t>
      </w:r>
      <w:r w:rsidRPr="00420EEA">
        <w:rPr>
          <w:bCs/>
          <w:szCs w:val="22"/>
        </w:rPr>
        <w:t>Any damage or loss of such tooling shall be immediately reported to GT Supply Chain</w:t>
      </w:r>
      <w:r>
        <w:rPr>
          <w:bCs/>
          <w:szCs w:val="22"/>
        </w:rPr>
        <w:t>.</w:t>
      </w:r>
    </w:p>
    <w:p w14:paraId="4D580659" w14:textId="79A7C7A7" w:rsidR="00DB5797" w:rsidRDefault="00DB5797" w:rsidP="00BF7B13">
      <w:pPr>
        <w:pStyle w:val="kj03123"/>
        <w:tabs>
          <w:tab w:val="clear" w:pos="360"/>
          <w:tab w:val="clear" w:pos="1267"/>
          <w:tab w:val="num" w:pos="1260"/>
        </w:tabs>
      </w:pPr>
      <w:r w:rsidRPr="00420EEA">
        <w:rPr>
          <w:bCs/>
          <w:szCs w:val="22"/>
        </w:rPr>
        <w:t xml:space="preserve">New GT owned tooling will require production approval qualification prior to use. </w:t>
      </w:r>
      <w:r>
        <w:rPr>
          <w:bCs/>
          <w:szCs w:val="22"/>
        </w:rPr>
        <w:t xml:space="preserve"> </w:t>
      </w:r>
      <w:r w:rsidRPr="00420EEA">
        <w:rPr>
          <w:bCs/>
          <w:szCs w:val="22"/>
        </w:rPr>
        <w:t>The supplier must notify GT Supply Chain when new tooling is required in order to provide the qualification requirements for production approval</w:t>
      </w:r>
      <w:r>
        <w:rPr>
          <w:bCs/>
          <w:szCs w:val="22"/>
        </w:rPr>
        <w:t>.</w:t>
      </w:r>
    </w:p>
    <w:p w14:paraId="0E545B8B" w14:textId="6D7E6C28" w:rsidR="00771799" w:rsidRDefault="00DB5797" w:rsidP="00DB5797">
      <w:pPr>
        <w:pStyle w:val="kj0212"/>
        <w:tabs>
          <w:tab w:val="clear" w:pos="360"/>
          <w:tab w:val="clear" w:pos="547"/>
          <w:tab w:val="num" w:pos="540"/>
        </w:tabs>
      </w:pPr>
      <w:bookmarkStart w:id="58" w:name="_Toc161133600"/>
      <w:r>
        <w:t>Inspection Requirements</w:t>
      </w:r>
      <w:bookmarkEnd w:id="58"/>
    </w:p>
    <w:p w14:paraId="5CF71E93" w14:textId="0333FDCD" w:rsidR="00771799" w:rsidRPr="00A70D75" w:rsidRDefault="00A70D75" w:rsidP="00DB5797">
      <w:pPr>
        <w:pStyle w:val="kj03123"/>
        <w:tabs>
          <w:tab w:val="clear" w:pos="360"/>
          <w:tab w:val="clear" w:pos="1267"/>
          <w:tab w:val="num" w:pos="1260"/>
        </w:tabs>
      </w:pPr>
      <w:r w:rsidRPr="00420EEA">
        <w:rPr>
          <w:bCs/>
          <w:szCs w:val="22"/>
        </w:rPr>
        <w:t>All inspection measurements shall be conducted using the appropriate equipment which has been calibrated in accordance with a recognized standard (such as ISO</w:t>
      </w:r>
      <w:r w:rsidR="0086105D">
        <w:rPr>
          <w:bCs/>
          <w:szCs w:val="22"/>
        </w:rPr>
        <w:t xml:space="preserve"> </w:t>
      </w:r>
      <w:r w:rsidRPr="00420EEA">
        <w:rPr>
          <w:bCs/>
          <w:szCs w:val="22"/>
        </w:rPr>
        <w:t>10012 or ANSI/NCSL Z540.3)</w:t>
      </w:r>
      <w:r>
        <w:rPr>
          <w:bCs/>
          <w:szCs w:val="22"/>
        </w:rPr>
        <w:t>.</w:t>
      </w:r>
    </w:p>
    <w:p w14:paraId="2C00D277" w14:textId="394464A6" w:rsidR="00A70D75" w:rsidRPr="00A70D75" w:rsidRDefault="00A70D75" w:rsidP="00DB5797">
      <w:pPr>
        <w:pStyle w:val="kj03123"/>
        <w:tabs>
          <w:tab w:val="clear" w:pos="360"/>
          <w:tab w:val="clear" w:pos="1267"/>
          <w:tab w:val="num" w:pos="1260"/>
        </w:tabs>
      </w:pPr>
      <w:r w:rsidRPr="00420EEA">
        <w:rPr>
          <w:bCs/>
          <w:szCs w:val="22"/>
        </w:rPr>
        <w:t>Part inspection requirements may be detailed on the purchase order, the engineering print, or the material specifications and specify either an AQL sampling level per ANSI standard Z1.4, 100% inspection, or refer to a specific customer requirement</w:t>
      </w:r>
      <w:r>
        <w:rPr>
          <w:bCs/>
          <w:szCs w:val="22"/>
        </w:rPr>
        <w:t>.</w:t>
      </w:r>
    </w:p>
    <w:p w14:paraId="216818EF" w14:textId="30562386" w:rsidR="00A70D75" w:rsidRPr="00A70D75" w:rsidRDefault="00A70D75" w:rsidP="00DB5797">
      <w:pPr>
        <w:pStyle w:val="kj03123"/>
        <w:tabs>
          <w:tab w:val="clear" w:pos="360"/>
          <w:tab w:val="clear" w:pos="1267"/>
          <w:tab w:val="num" w:pos="1260"/>
        </w:tabs>
      </w:pPr>
      <w:r w:rsidRPr="00420EEA">
        <w:rPr>
          <w:bCs/>
          <w:szCs w:val="22"/>
        </w:rPr>
        <w:t>If parts are being inspected to an AQL sampling level, then C=0 will be used so that if any non-conforming conditions are found then 100% inspection is required to be put in place</w:t>
      </w:r>
      <w:r>
        <w:rPr>
          <w:bCs/>
          <w:szCs w:val="22"/>
        </w:rPr>
        <w:t>.</w:t>
      </w:r>
    </w:p>
    <w:p w14:paraId="000C4634" w14:textId="6DEE7E9C" w:rsidR="00A70D75" w:rsidRPr="00A70D75" w:rsidRDefault="00A70D75" w:rsidP="00DB5797">
      <w:pPr>
        <w:pStyle w:val="kj03123"/>
        <w:tabs>
          <w:tab w:val="clear" w:pos="360"/>
          <w:tab w:val="clear" w:pos="1267"/>
          <w:tab w:val="num" w:pos="1260"/>
        </w:tabs>
      </w:pPr>
      <w:r w:rsidRPr="00420EEA">
        <w:rPr>
          <w:bCs/>
          <w:szCs w:val="22"/>
        </w:rPr>
        <w:t xml:space="preserve">When not otherwise specified, the inspection report shall default to an AQL 1.5 C=0 sampling plan (Figure </w:t>
      </w:r>
      <w:r>
        <w:rPr>
          <w:bCs/>
          <w:szCs w:val="22"/>
        </w:rPr>
        <w:t>2</w:t>
      </w:r>
      <w:r w:rsidRPr="00420EEA">
        <w:rPr>
          <w:bCs/>
          <w:szCs w:val="22"/>
        </w:rPr>
        <w:t xml:space="preserve">). </w:t>
      </w:r>
      <w:r>
        <w:rPr>
          <w:bCs/>
          <w:szCs w:val="22"/>
        </w:rPr>
        <w:t xml:space="preserve"> </w:t>
      </w:r>
      <w:r w:rsidRPr="00420EEA">
        <w:rPr>
          <w:bCs/>
          <w:szCs w:val="22"/>
        </w:rPr>
        <w:t xml:space="preserve">Each inspected sample from the AQL shall have its own individual data recorded on the inspection report. </w:t>
      </w:r>
      <w:r>
        <w:rPr>
          <w:bCs/>
          <w:szCs w:val="22"/>
        </w:rPr>
        <w:t xml:space="preserve"> </w:t>
      </w:r>
      <w:r w:rsidRPr="00420EEA">
        <w:rPr>
          <w:bCs/>
          <w:szCs w:val="22"/>
        </w:rPr>
        <w:t xml:space="preserve">High and low results only for a group of parts will not be acceptable. </w:t>
      </w:r>
      <w:r>
        <w:rPr>
          <w:bCs/>
          <w:szCs w:val="22"/>
        </w:rPr>
        <w:t xml:space="preserve"> </w:t>
      </w:r>
      <w:r w:rsidRPr="00420EEA">
        <w:rPr>
          <w:bCs/>
          <w:szCs w:val="22"/>
        </w:rPr>
        <w:t>Parts for the AQL sampling plan should be measured periodically from throughout the entire production run and thus capture if the process starts to deviate from control and/or specification limits</w:t>
      </w:r>
      <w:r>
        <w:rPr>
          <w:bCs/>
          <w:szCs w:val="22"/>
        </w:rPr>
        <w:t>.</w:t>
      </w:r>
    </w:p>
    <w:p w14:paraId="08C8DA3E" w14:textId="77777777" w:rsidR="00A70D75" w:rsidRDefault="00A70D75" w:rsidP="00A70D75">
      <w:pPr>
        <w:pStyle w:val="kj0010TextOnly"/>
      </w:pPr>
    </w:p>
    <w:p w14:paraId="4CACB2BF" w14:textId="77777777" w:rsidR="00A70D75" w:rsidRDefault="00A70D75" w:rsidP="00A70D75">
      <w:pPr>
        <w:pStyle w:val="kj0010TextOnly"/>
      </w:pPr>
    </w:p>
    <w:p w14:paraId="21D93CD9" w14:textId="77777777" w:rsidR="00A70D75" w:rsidRDefault="00A70D75" w:rsidP="00A70D75">
      <w:pPr>
        <w:pStyle w:val="kj0010TextOnly"/>
      </w:pPr>
    </w:p>
    <w:p w14:paraId="6CF3B6DD" w14:textId="77777777" w:rsidR="00A70D75" w:rsidRDefault="00A70D75" w:rsidP="00A70D75">
      <w:pPr>
        <w:pStyle w:val="kj0010TextOnly"/>
      </w:pPr>
    </w:p>
    <w:p w14:paraId="0B9C4801" w14:textId="77777777" w:rsidR="00A70D75" w:rsidRDefault="001D5FBA" w:rsidP="00A70D75">
      <w:hyperlink w:anchor="TableOfContents" w:history="1">
        <w:r w:rsidR="00A70D75" w:rsidRPr="00066290">
          <w:rPr>
            <w:rStyle w:val="Hyperlink"/>
            <w:rFonts w:cs="Arial"/>
            <w:sz w:val="16"/>
            <w:szCs w:val="14"/>
          </w:rPr>
          <w:t>Return to Table of Contents</w:t>
        </w:r>
      </w:hyperlink>
      <w:r w:rsidR="00A70D75">
        <w:br w:type="page"/>
      </w:r>
    </w:p>
    <w:p w14:paraId="795978E5" w14:textId="44B7EE1C" w:rsidR="00771799" w:rsidRDefault="00A70D75" w:rsidP="00A70D75">
      <w:pPr>
        <w:pStyle w:val="kj0010TextOnly"/>
        <w:jc w:val="center"/>
        <w:rPr>
          <w:rFonts w:cs="Arial"/>
        </w:rPr>
      </w:pPr>
      <w:r w:rsidRPr="00420EEA">
        <w:rPr>
          <w:b/>
          <w:bCs/>
          <w:noProof/>
          <w:szCs w:val="22"/>
        </w:rPr>
        <w:drawing>
          <wp:inline distT="0" distB="0" distL="0" distR="0" wp14:anchorId="5F367DF7" wp14:editId="5843BB0B">
            <wp:extent cx="2571750" cy="2799627"/>
            <wp:effectExtent l="0" t="0" r="0" b="1270"/>
            <wp:docPr id="1520142484" name="Picture 2" descr="A table with numb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142484" name="Picture 2" descr="A table with numbers and numbers&#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74943" cy="2803103"/>
                    </a:xfrm>
                    <a:prstGeom prst="rect">
                      <a:avLst/>
                    </a:prstGeom>
                    <a:noFill/>
                  </pic:spPr>
                </pic:pic>
              </a:graphicData>
            </a:graphic>
          </wp:inline>
        </w:drawing>
      </w:r>
    </w:p>
    <w:p w14:paraId="5B77B87A" w14:textId="615EBB85" w:rsidR="00771799" w:rsidRDefault="00A70D75" w:rsidP="00A70D75">
      <w:pPr>
        <w:pStyle w:val="kj0212FIGURETITLE"/>
        <w:ind w:left="720"/>
      </w:pPr>
      <w:r w:rsidRPr="005B18E6">
        <w:t>figure 2</w:t>
      </w:r>
    </w:p>
    <w:p w14:paraId="42EF10EB" w14:textId="77777777" w:rsidR="00A70D75" w:rsidRDefault="00A70D75" w:rsidP="00066290">
      <w:pPr>
        <w:pStyle w:val="kj0010TextOnly"/>
        <w:rPr>
          <w:rFonts w:cs="Arial"/>
        </w:rPr>
      </w:pPr>
    </w:p>
    <w:p w14:paraId="19E82E0D" w14:textId="251828E2" w:rsidR="00A70D75" w:rsidRPr="006E42E0" w:rsidRDefault="006E42E0" w:rsidP="006E42E0">
      <w:pPr>
        <w:pStyle w:val="kj03123"/>
        <w:tabs>
          <w:tab w:val="clear" w:pos="360"/>
          <w:tab w:val="clear" w:pos="1267"/>
          <w:tab w:val="num" w:pos="1260"/>
        </w:tabs>
      </w:pPr>
      <w:r w:rsidRPr="00865577">
        <mc:AlternateContent>
          <mc:Choice Requires="wps">
            <w:drawing>
              <wp:anchor distT="45720" distB="45720" distL="114300" distR="114300" simplePos="0" relativeHeight="251707392" behindDoc="0" locked="0" layoutInCell="1" allowOverlap="1" wp14:anchorId="6C7EA474" wp14:editId="3DFC1013">
                <wp:simplePos x="0" y="0"/>
                <wp:positionH relativeFrom="column">
                  <wp:posOffset>-390525</wp:posOffset>
                </wp:positionH>
                <wp:positionV relativeFrom="paragraph">
                  <wp:posOffset>495300</wp:posOffset>
                </wp:positionV>
                <wp:extent cx="365760" cy="1404620"/>
                <wp:effectExtent l="0" t="0" r="0" b="8890"/>
                <wp:wrapNone/>
                <wp:docPr id="216985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404620"/>
                        </a:xfrm>
                        <a:prstGeom prst="rect">
                          <a:avLst/>
                        </a:prstGeom>
                        <a:solidFill>
                          <a:srgbClr val="FFFFFF"/>
                        </a:solidFill>
                        <a:ln w="9525">
                          <a:noFill/>
                          <a:miter lim="800000"/>
                          <a:headEnd/>
                          <a:tailEnd/>
                        </a:ln>
                      </wps:spPr>
                      <wps:txbx>
                        <w:txbxContent>
                          <w:p w14:paraId="299B6200" w14:textId="77777777" w:rsidR="006E42E0" w:rsidRPr="006659B4" w:rsidRDefault="006E42E0" w:rsidP="006E42E0">
                            <w:pPr>
                              <w:tabs>
                                <w:tab w:val="left" w:pos="187"/>
                                <w:tab w:val="left" w:pos="547"/>
                                <w:tab w:val="left" w:pos="1267"/>
                                <w:tab w:val="left" w:pos="2160"/>
                                <w:tab w:val="left" w:pos="3240"/>
                                <w:tab w:val="left" w:pos="4320"/>
                                <w:tab w:val="left" w:pos="5760"/>
                                <w:tab w:val="left" w:pos="7387"/>
                              </w:tabs>
                              <w:jc w:val="right"/>
                              <w:rPr>
                                <w:rFonts w:cs="Arial"/>
                              </w:rPr>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7EA474" id="_x0000_s1043" type="#_x0000_t202" style="position:absolute;left:0;text-align:left;margin-left:-30.75pt;margin-top:39pt;width:28.8pt;height:110.6pt;z-index:251707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n1EwIAAP4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" stroked="f">
                <v:textbox style="mso-fit-shape-to-text:t">
                  <w:txbxContent>
                    <w:p w14:paraId="299B6200" w14:textId="77777777" w:rsidR="006E42E0" w:rsidRPr="006659B4" w:rsidRDefault="006E42E0" w:rsidP="006E42E0">
                      <w:pPr>
                        <w:tabs>
                          <w:tab w:val="left" w:pos="187"/>
                          <w:tab w:val="left" w:pos="547"/>
                          <w:tab w:val="left" w:pos="1267"/>
                          <w:tab w:val="left" w:pos="2160"/>
                          <w:tab w:val="left" w:pos="3240"/>
                          <w:tab w:val="left" w:pos="4320"/>
                          <w:tab w:val="left" w:pos="5760"/>
                          <w:tab w:val="left" w:pos="7387"/>
                        </w:tabs>
                        <w:jc w:val="right"/>
                        <w:rPr>
                          <w:rFonts w:cs="Arial"/>
                        </w:rPr>
                      </w:pPr>
                      <w:r>
                        <w:t>|</w:t>
                      </w:r>
                    </w:p>
                  </w:txbxContent>
                </v:textbox>
              </v:shape>
            </w:pict>
          </mc:Fallback>
        </mc:AlternateContent>
      </w:r>
      <w:r w:rsidRPr="00420EEA">
        <w:rPr>
          <w:bCs/>
          <w:szCs w:val="22"/>
        </w:rPr>
        <w:t>Part inspection reports shall include all requirements specified on GT print, purchase order, and/or contract including the specified tolerance, maximum, or minimum condition</w:t>
      </w:r>
      <w:r>
        <w:rPr>
          <w:bCs/>
          <w:szCs w:val="22"/>
        </w:rPr>
        <w:t>.</w:t>
      </w:r>
    </w:p>
    <w:p w14:paraId="61DDEF08" w14:textId="3E3F7FD7" w:rsidR="006E42E0" w:rsidRDefault="006E42E0" w:rsidP="006E42E0">
      <w:pPr>
        <w:pStyle w:val="kj03123"/>
        <w:tabs>
          <w:tab w:val="clear" w:pos="360"/>
          <w:tab w:val="clear" w:pos="1267"/>
          <w:tab w:val="num" w:pos="1260"/>
        </w:tabs>
      </w:pPr>
      <w:r w:rsidRPr="006E42E0">
        <w:t xml:space="preserve">The measurement method used shall be noted in the inspection report (e.g., calipers, CMM, tensile tester, visual, etc.) and shall be appropriate to the type of attribute being inspected. </w:t>
      </w:r>
      <w:r>
        <w:t xml:space="preserve"> </w:t>
      </w:r>
      <w:r w:rsidRPr="006E42E0">
        <w:t>Measurement data should reflect appropriate resolution and accuracy based upon the precision level identified on the part print or other specified GT specification.</w:t>
      </w:r>
      <w:r>
        <w:t xml:space="preserve"> </w:t>
      </w:r>
      <w:r w:rsidRPr="006E42E0">
        <w:t xml:space="preserve"> In cases where this is not practical, supplier will notify GT and gain alignment on measurement method prior to any shipment.</w:t>
      </w:r>
    </w:p>
    <w:p w14:paraId="435526F5" w14:textId="0EA221A8" w:rsidR="006E42E0" w:rsidRPr="00B37D3F" w:rsidRDefault="00B37D3F" w:rsidP="006E42E0">
      <w:pPr>
        <w:pStyle w:val="kj03123"/>
        <w:tabs>
          <w:tab w:val="clear" w:pos="360"/>
          <w:tab w:val="clear" w:pos="1267"/>
          <w:tab w:val="num" w:pos="1260"/>
        </w:tabs>
      </w:pPr>
      <w:r w:rsidRPr="00420EEA">
        <w:rPr>
          <w:bCs/>
          <w:szCs w:val="22"/>
        </w:rPr>
        <w:t>The name of the person who completed the inspection should be clearly stated in the inspection report</w:t>
      </w:r>
      <w:r>
        <w:rPr>
          <w:bCs/>
          <w:szCs w:val="22"/>
        </w:rPr>
        <w:t>.</w:t>
      </w:r>
    </w:p>
    <w:p w14:paraId="654FFB75" w14:textId="0A368357" w:rsidR="00B37D3F" w:rsidRPr="00B37D3F" w:rsidRDefault="00B37D3F" w:rsidP="006E42E0">
      <w:pPr>
        <w:pStyle w:val="kj03123"/>
        <w:tabs>
          <w:tab w:val="clear" w:pos="360"/>
          <w:tab w:val="clear" w:pos="1267"/>
          <w:tab w:val="num" w:pos="1260"/>
        </w:tabs>
      </w:pPr>
      <w:r w:rsidRPr="00420EEA">
        <w:rPr>
          <w:bCs/>
          <w:szCs w:val="22"/>
        </w:rPr>
        <w:t xml:space="preserve">Measurable results must be actual readings (statements like ‘OK’ or a check mark shall not be accepted). </w:t>
      </w:r>
      <w:r>
        <w:rPr>
          <w:bCs/>
          <w:szCs w:val="22"/>
        </w:rPr>
        <w:t xml:space="preserve"> </w:t>
      </w:r>
      <w:r w:rsidRPr="00420EEA">
        <w:rPr>
          <w:bCs/>
          <w:szCs w:val="22"/>
        </w:rPr>
        <w:t>The use of ditto marks, correction fluid or correction tape is not allowable.</w:t>
      </w:r>
      <w:r>
        <w:rPr>
          <w:bCs/>
          <w:szCs w:val="22"/>
        </w:rPr>
        <w:t xml:space="preserve"> </w:t>
      </w:r>
      <w:r w:rsidRPr="00420EEA">
        <w:rPr>
          <w:bCs/>
          <w:szCs w:val="22"/>
        </w:rPr>
        <w:t xml:space="preserve"> Where results based on attribute data is required (e.g., go/no-go gages) the inspection data sheet should clearly state either ‘Pass’ or ‘Fail’</w:t>
      </w:r>
      <w:r>
        <w:rPr>
          <w:bCs/>
          <w:szCs w:val="22"/>
        </w:rPr>
        <w:t>.</w:t>
      </w:r>
    </w:p>
    <w:p w14:paraId="44FBA6D0" w14:textId="4316F7F2" w:rsidR="00B37D3F" w:rsidRPr="00B37D3F" w:rsidRDefault="00B37D3F" w:rsidP="006E42E0">
      <w:pPr>
        <w:pStyle w:val="kj03123"/>
        <w:tabs>
          <w:tab w:val="clear" w:pos="360"/>
          <w:tab w:val="clear" w:pos="1267"/>
          <w:tab w:val="num" w:pos="1260"/>
        </w:tabs>
      </w:pPr>
      <w:r w:rsidRPr="00420EEA">
        <w:rPr>
          <w:bCs/>
          <w:szCs w:val="22"/>
        </w:rPr>
        <w:t>Inspection records shall be retained and identified by material batch/lot number so that these may be readily accessible if requested</w:t>
      </w:r>
      <w:r>
        <w:rPr>
          <w:bCs/>
          <w:szCs w:val="22"/>
        </w:rPr>
        <w:t>.</w:t>
      </w:r>
    </w:p>
    <w:p w14:paraId="320B2644" w14:textId="06E7E793" w:rsidR="00B37D3F" w:rsidRPr="006E42E0" w:rsidRDefault="00B37D3F" w:rsidP="006E42E0">
      <w:pPr>
        <w:pStyle w:val="kj03123"/>
        <w:tabs>
          <w:tab w:val="clear" w:pos="360"/>
          <w:tab w:val="clear" w:pos="1267"/>
          <w:tab w:val="num" w:pos="1260"/>
        </w:tabs>
      </w:pPr>
      <w:r w:rsidRPr="00420EEA">
        <w:rPr>
          <w:bCs/>
          <w:szCs w:val="22"/>
        </w:rPr>
        <w:t>It is highly recommended to incorporate the following guidelines into your inspection practices</w:t>
      </w:r>
      <w:r>
        <w:rPr>
          <w:bCs/>
          <w:szCs w:val="22"/>
        </w:rPr>
        <w:t>:</w:t>
      </w:r>
    </w:p>
    <w:p w14:paraId="1000CBAC" w14:textId="6A11DA66" w:rsidR="00771799" w:rsidRDefault="00B37D3F" w:rsidP="00B37D3F">
      <w:pPr>
        <w:pStyle w:val="kj041234"/>
        <w:ind w:hanging="1080"/>
      </w:pPr>
      <w:r w:rsidRPr="00420EEA">
        <w:rPr>
          <w:rFonts w:cs="Arial"/>
          <w:bCs/>
          <w:szCs w:val="22"/>
        </w:rPr>
        <w:t xml:space="preserve">The piece used for First Piece Inspection approval should be individually packaged and identified and the measurements for this part denoted on the inspection report. </w:t>
      </w:r>
      <w:r>
        <w:rPr>
          <w:rFonts w:cs="Arial"/>
          <w:bCs/>
          <w:szCs w:val="22"/>
        </w:rPr>
        <w:t xml:space="preserve"> </w:t>
      </w:r>
      <w:r w:rsidRPr="00420EEA">
        <w:rPr>
          <w:rFonts w:cs="Arial"/>
          <w:bCs/>
          <w:szCs w:val="22"/>
        </w:rPr>
        <w:t>This piece may then be used to verify alignment between supplier and GT measurement results</w:t>
      </w:r>
      <w:r>
        <w:rPr>
          <w:rFonts w:cs="Arial"/>
          <w:bCs/>
          <w:szCs w:val="22"/>
        </w:rPr>
        <w:t>.</w:t>
      </w:r>
    </w:p>
    <w:p w14:paraId="0167AC0F" w14:textId="77777777" w:rsidR="00B37D3F" w:rsidRDefault="001D5FBA" w:rsidP="00B37D3F">
      <w:hyperlink w:anchor="TableOfContents" w:history="1">
        <w:r w:rsidR="00B37D3F" w:rsidRPr="00066290">
          <w:rPr>
            <w:rStyle w:val="Hyperlink"/>
            <w:rFonts w:cs="Arial"/>
            <w:sz w:val="16"/>
            <w:szCs w:val="14"/>
          </w:rPr>
          <w:t>Return to Table of Contents</w:t>
        </w:r>
      </w:hyperlink>
      <w:r w:rsidR="00B37D3F">
        <w:br w:type="page"/>
      </w:r>
    </w:p>
    <w:p w14:paraId="74DF93EA" w14:textId="6189FAF7" w:rsidR="00DB5797" w:rsidRPr="00B37D3F" w:rsidRDefault="00B37D3F" w:rsidP="00B37D3F">
      <w:pPr>
        <w:pStyle w:val="kj041234"/>
        <w:ind w:hanging="1080"/>
      </w:pPr>
      <w:r w:rsidRPr="00420EEA">
        <w:rPr>
          <w:rFonts w:cs="Arial"/>
          <w:bCs/>
          <w:szCs w:val="22"/>
        </w:rPr>
        <w:t xml:space="preserve">Statistical Process Control (SPC) data such as Cp and Cpk should be calculated and submitted with the inspection report for each measurable </w:t>
      </w:r>
      <w:r>
        <w:rPr>
          <w:rFonts w:cs="Arial"/>
          <w:bCs/>
          <w:szCs w:val="22"/>
        </w:rPr>
        <w:t>and</w:t>
      </w:r>
      <w:r w:rsidRPr="00420EEA">
        <w:rPr>
          <w:rFonts w:cs="Arial"/>
          <w:bCs/>
          <w:szCs w:val="22"/>
        </w:rPr>
        <w:t xml:space="preserve"> tolerance attribute</w:t>
      </w:r>
      <w:r>
        <w:rPr>
          <w:rFonts w:cs="Arial"/>
          <w:bCs/>
          <w:szCs w:val="22"/>
        </w:rPr>
        <w:t>.</w:t>
      </w:r>
    </w:p>
    <w:p w14:paraId="5E8D47D6" w14:textId="26ED30B5" w:rsidR="00B37D3F" w:rsidRDefault="00B37D3F" w:rsidP="00B37D3F">
      <w:pPr>
        <w:pStyle w:val="kj041234"/>
        <w:ind w:hanging="1080"/>
      </w:pPr>
      <w:r w:rsidRPr="00420EEA">
        <w:rPr>
          <w:rFonts w:cs="Arial"/>
          <w:bCs/>
          <w:szCs w:val="22"/>
        </w:rPr>
        <w:t>First Pass Yield (FPY) for the production run should be calculated and submitted with the inspection report and can be calculated</w:t>
      </w:r>
      <w:r>
        <w:rPr>
          <w:rFonts w:cs="Arial"/>
          <w:bCs/>
          <w:szCs w:val="22"/>
        </w:rPr>
        <w:t xml:space="preserve"> (see </w:t>
      </w:r>
      <w:r w:rsidRPr="005F3106">
        <w:rPr>
          <w:rFonts w:cs="Arial"/>
          <w:szCs w:val="22"/>
        </w:rPr>
        <w:t>Figure 3</w:t>
      </w:r>
      <w:r>
        <w:rPr>
          <w:rFonts w:cs="Arial"/>
          <w:szCs w:val="22"/>
        </w:rPr>
        <w:t>):</w:t>
      </w:r>
    </w:p>
    <w:p w14:paraId="749CCF66" w14:textId="77777777" w:rsidR="00B37D3F" w:rsidRDefault="00B37D3F" w:rsidP="00B37D3F">
      <w:pPr>
        <w:pStyle w:val="kj0010TextOnly"/>
        <w:ind w:left="1267"/>
        <w:jc w:val="center"/>
      </w:pPr>
      <w:r w:rsidRPr="00420EEA">
        <w:rPr>
          <w:noProof/>
        </w:rPr>
        <w:drawing>
          <wp:inline distT="0" distB="0" distL="0" distR="0" wp14:anchorId="3ECD6AA6" wp14:editId="6981400A">
            <wp:extent cx="3377565" cy="944880"/>
            <wp:effectExtent l="19050" t="19050" r="13335" b="26670"/>
            <wp:docPr id="1635081146" name="Picture 3" descr="A math equation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081146" name="Picture 3" descr="A math equations on a white background&#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77565" cy="944880"/>
                    </a:xfrm>
                    <a:prstGeom prst="rect">
                      <a:avLst/>
                    </a:prstGeom>
                    <a:noFill/>
                    <a:ln>
                      <a:solidFill>
                        <a:sysClr val="windowText" lastClr="000000"/>
                      </a:solidFill>
                    </a:ln>
                  </pic:spPr>
                </pic:pic>
              </a:graphicData>
            </a:graphic>
          </wp:inline>
        </w:drawing>
      </w:r>
    </w:p>
    <w:p w14:paraId="68F81FE1" w14:textId="300FFC21" w:rsidR="00F80227" w:rsidRPr="00543E95" w:rsidRDefault="00B37D3F" w:rsidP="00B37D3F">
      <w:pPr>
        <w:pStyle w:val="kj0212FIGURETITLE"/>
        <w:ind w:left="720"/>
      </w:pPr>
      <w:r w:rsidRPr="00543E95">
        <w:t>figure 3</w:t>
      </w:r>
    </w:p>
    <w:p w14:paraId="247F336C" w14:textId="77777777" w:rsidR="00F80227" w:rsidRDefault="00F80227" w:rsidP="00066290">
      <w:pPr>
        <w:pStyle w:val="kj0010TextOnly"/>
        <w:rPr>
          <w:rFonts w:cs="Arial"/>
        </w:rPr>
      </w:pPr>
    </w:p>
    <w:p w14:paraId="1F3954BF" w14:textId="35E33249" w:rsidR="00DB5797" w:rsidRDefault="00B37D3F" w:rsidP="00B37D3F">
      <w:pPr>
        <w:pStyle w:val="kj03123"/>
        <w:tabs>
          <w:tab w:val="clear" w:pos="360"/>
          <w:tab w:val="clear" w:pos="1267"/>
          <w:tab w:val="num" w:pos="1260"/>
        </w:tabs>
      </w:pPr>
      <w:r w:rsidRPr="00420EEA">
        <w:rPr>
          <w:bCs/>
          <w:szCs w:val="22"/>
        </w:rPr>
        <w:t>On a periodic basis GT may conduct a product configuration audit (PCA) to confirm a certificate of compliance.  This may include either internal or third-party analysis for verification of material composition</w:t>
      </w:r>
      <w:r>
        <w:rPr>
          <w:bCs/>
          <w:szCs w:val="22"/>
        </w:rPr>
        <w:t>.</w:t>
      </w:r>
    </w:p>
    <w:p w14:paraId="21A82853" w14:textId="1744E8F7" w:rsidR="00DB5797" w:rsidRDefault="00B37D3F" w:rsidP="00B37D3F">
      <w:pPr>
        <w:pStyle w:val="kj0212"/>
        <w:tabs>
          <w:tab w:val="clear" w:pos="360"/>
          <w:tab w:val="clear" w:pos="547"/>
          <w:tab w:val="num" w:pos="540"/>
        </w:tabs>
      </w:pPr>
      <w:bookmarkStart w:id="59" w:name="_Toc161133601"/>
      <w:r>
        <w:t>Inspection Requirements – First Article</w:t>
      </w:r>
      <w:bookmarkEnd w:id="59"/>
    </w:p>
    <w:p w14:paraId="1D3B20CB" w14:textId="2D6A5E7F" w:rsidR="00DB5797" w:rsidRPr="00FE0C48" w:rsidRDefault="00FE0C48" w:rsidP="00FE0C48">
      <w:pPr>
        <w:pStyle w:val="kj03123"/>
        <w:tabs>
          <w:tab w:val="clear" w:pos="360"/>
          <w:tab w:val="clear" w:pos="1267"/>
          <w:tab w:val="num" w:pos="1260"/>
        </w:tabs>
      </w:pPr>
      <w:r w:rsidRPr="00420EEA">
        <w:rPr>
          <w:bCs/>
          <w:szCs w:val="22"/>
        </w:rPr>
        <w:t>A First Article Inspection Report (FAIR) may be required to be submitted to GT for a variety of circumstances during the life of a part</w:t>
      </w:r>
      <w:r>
        <w:rPr>
          <w:bCs/>
          <w:szCs w:val="22"/>
        </w:rPr>
        <w:t>.</w:t>
      </w:r>
    </w:p>
    <w:p w14:paraId="7F5F5E4C" w14:textId="2AE1429A" w:rsidR="00FE0C48" w:rsidRPr="00FE0C48" w:rsidRDefault="00FE0C48" w:rsidP="00FE0C48">
      <w:pPr>
        <w:pStyle w:val="kj03123"/>
        <w:tabs>
          <w:tab w:val="clear" w:pos="360"/>
          <w:tab w:val="clear" w:pos="1267"/>
          <w:tab w:val="num" w:pos="1260"/>
        </w:tabs>
      </w:pPr>
      <w:r w:rsidRPr="00420EEA">
        <w:rPr>
          <w:bCs/>
          <w:szCs w:val="22"/>
        </w:rPr>
        <w:t xml:space="preserve">These circumstances may include, but are not limited to, the following: </w:t>
      </w:r>
      <w:r>
        <w:rPr>
          <w:bCs/>
          <w:szCs w:val="22"/>
        </w:rPr>
        <w:t xml:space="preserve"> </w:t>
      </w:r>
      <w:r w:rsidRPr="00420EEA">
        <w:rPr>
          <w:bCs/>
          <w:szCs w:val="22"/>
        </w:rPr>
        <w:t>new Part Number Add (PNA), Engineering Change Notification (ECN), change of supplier, quality issues, supplier process change or sub tier process change, GT customer request, long time duration between builds, deviation/waiver, industry specific requirements (i.e., Aerospace or Semiconductor</w:t>
      </w:r>
      <w:r>
        <w:rPr>
          <w:bCs/>
          <w:szCs w:val="22"/>
        </w:rPr>
        <w:t>).</w:t>
      </w:r>
    </w:p>
    <w:p w14:paraId="021F85A7" w14:textId="462AF90F" w:rsidR="00FE0C48" w:rsidRPr="00FE0C48" w:rsidRDefault="00FE0C48" w:rsidP="00FE0C48">
      <w:pPr>
        <w:pStyle w:val="kj03123"/>
        <w:tabs>
          <w:tab w:val="clear" w:pos="360"/>
          <w:tab w:val="clear" w:pos="1267"/>
          <w:tab w:val="num" w:pos="1260"/>
        </w:tabs>
      </w:pPr>
      <w:r w:rsidRPr="00420EEA">
        <w:rPr>
          <w:bCs/>
          <w:szCs w:val="22"/>
        </w:rPr>
        <w:t>GT requirements for first article inspection reports will be communicated to the supplier in the purchase order or contract per GT procedure WI-GP-00-06.016. When requested, the FAIR must be completed using form FR-QA-0000-00.007 and must be included in the packing list accompanying the parts</w:t>
      </w:r>
      <w:r>
        <w:rPr>
          <w:bCs/>
          <w:szCs w:val="22"/>
        </w:rPr>
        <w:t>.</w:t>
      </w:r>
    </w:p>
    <w:p w14:paraId="7DDE50D4" w14:textId="5D8F52E5" w:rsidR="00FE0C48" w:rsidRDefault="00FE0C48" w:rsidP="00FE0C48">
      <w:pPr>
        <w:pStyle w:val="kj03123"/>
        <w:tabs>
          <w:tab w:val="clear" w:pos="360"/>
          <w:tab w:val="clear" w:pos="1267"/>
          <w:tab w:val="num" w:pos="1260"/>
        </w:tabs>
      </w:pPr>
      <w:r w:rsidRPr="00420EEA">
        <w:rPr>
          <w:bCs/>
          <w:szCs w:val="22"/>
        </w:rPr>
        <w:t>For parts supplied to the aerospace or semiconductor industry a part is considered ‘locked in’ by the first article inspection and must adhere to ‘Copy Exact’ guidelines as noted</w:t>
      </w:r>
      <w:r w:rsidRPr="006F3F2F">
        <w:rPr>
          <w:bCs/>
          <w:szCs w:val="22"/>
        </w:rPr>
        <w:t xml:space="preserve"> in Section 6.5. </w:t>
      </w:r>
      <w:r>
        <w:rPr>
          <w:bCs/>
          <w:szCs w:val="22"/>
        </w:rPr>
        <w:t xml:space="preserve"> </w:t>
      </w:r>
      <w:r w:rsidRPr="00420EEA">
        <w:rPr>
          <w:bCs/>
          <w:szCs w:val="22"/>
        </w:rPr>
        <w:t>Any change in process, including sub tier processes, will require prior notification and approval by GT Supply Chain</w:t>
      </w:r>
      <w:r>
        <w:rPr>
          <w:bCs/>
          <w:szCs w:val="22"/>
        </w:rPr>
        <w:t>.</w:t>
      </w:r>
    </w:p>
    <w:p w14:paraId="5F118994" w14:textId="4F6CA58C" w:rsidR="00DB5797" w:rsidRDefault="00FE0C48" w:rsidP="00FE0C48">
      <w:pPr>
        <w:pStyle w:val="kj0212"/>
        <w:tabs>
          <w:tab w:val="clear" w:pos="360"/>
          <w:tab w:val="clear" w:pos="547"/>
          <w:tab w:val="num" w:pos="540"/>
        </w:tabs>
      </w:pPr>
      <w:bookmarkStart w:id="60" w:name="_Toc161133602"/>
      <w:r>
        <w:t>Non-Conforming Material and Quality Notifications</w:t>
      </w:r>
      <w:bookmarkEnd w:id="60"/>
    </w:p>
    <w:p w14:paraId="798BE273" w14:textId="74E2816B" w:rsidR="00DB5797" w:rsidRDefault="00FE0C48" w:rsidP="00FE0C48">
      <w:pPr>
        <w:pStyle w:val="kj03123"/>
      </w:pPr>
      <w:r w:rsidRPr="00FE0C48">
        <w:t xml:space="preserve">Materials, processes, procedures determined to be non-conforming with GT specifications, special processing requirements, compliance expectations, etc., are expected to be managed by the supplier in accordance with their non-conformance procedures. </w:t>
      </w:r>
      <w:r>
        <w:t xml:space="preserve"> </w:t>
      </w:r>
      <w:r w:rsidRPr="00FE0C48">
        <w:t>Prior to shipment, suppliers are expected to get approval for any non-conformance through the use of an SDR (Section 6.9), ECN (Section 6.16), or other appropriate means</w:t>
      </w:r>
      <w:r>
        <w:t>.</w:t>
      </w:r>
    </w:p>
    <w:p w14:paraId="0AD3E507" w14:textId="308BE88C" w:rsidR="00FE0C48" w:rsidRPr="00FE0C48" w:rsidRDefault="00FE0C48" w:rsidP="00FE0C48">
      <w:pPr>
        <w:pStyle w:val="kj03123"/>
      </w:pPr>
      <w:r w:rsidRPr="00420EEA">
        <w:rPr>
          <w:bCs/>
          <w:szCs w:val="22"/>
        </w:rPr>
        <w:t>Products identified as non-conforming by GT are segregated and identified by a Quality Notification (QN) and/or a red rejection tag</w:t>
      </w:r>
      <w:r>
        <w:rPr>
          <w:bCs/>
          <w:szCs w:val="22"/>
        </w:rPr>
        <w:t>.</w:t>
      </w:r>
    </w:p>
    <w:p w14:paraId="0726E8AB" w14:textId="77777777" w:rsidR="00FE0C48" w:rsidRDefault="001D5FBA" w:rsidP="00FE0C48">
      <w:hyperlink w:anchor="TableOfContents" w:history="1">
        <w:r w:rsidR="00FE0C48" w:rsidRPr="00066290">
          <w:rPr>
            <w:rStyle w:val="Hyperlink"/>
            <w:rFonts w:cs="Arial"/>
            <w:sz w:val="16"/>
            <w:szCs w:val="14"/>
          </w:rPr>
          <w:t>Return to Table of Contents</w:t>
        </w:r>
      </w:hyperlink>
      <w:r w:rsidR="00FE0C48">
        <w:br w:type="page"/>
      </w:r>
    </w:p>
    <w:p w14:paraId="40B5FCF0" w14:textId="0F574A4A" w:rsidR="00DB5797" w:rsidRPr="0090016F" w:rsidRDefault="0090016F" w:rsidP="00FE0C48">
      <w:pPr>
        <w:pStyle w:val="kj03123"/>
        <w:tabs>
          <w:tab w:val="clear" w:pos="360"/>
          <w:tab w:val="clear" w:pos="1267"/>
          <w:tab w:val="left" w:pos="1260"/>
        </w:tabs>
      </w:pPr>
      <w:r w:rsidRPr="00420EEA">
        <w:rPr>
          <w:bCs/>
          <w:szCs w:val="22"/>
        </w:rPr>
        <w:t>The disposition of the non-conforming product will be documented on the QN and the QN will be used to communicate information between GT and the supplier</w:t>
      </w:r>
      <w:r>
        <w:rPr>
          <w:bCs/>
          <w:szCs w:val="22"/>
        </w:rPr>
        <w:t>.</w:t>
      </w:r>
    </w:p>
    <w:p w14:paraId="314FEFC8" w14:textId="65D91CCC" w:rsidR="0090016F" w:rsidRDefault="0090016F" w:rsidP="00FE0C48">
      <w:pPr>
        <w:pStyle w:val="kj03123"/>
        <w:tabs>
          <w:tab w:val="clear" w:pos="360"/>
          <w:tab w:val="clear" w:pos="1267"/>
          <w:tab w:val="left" w:pos="1260"/>
        </w:tabs>
      </w:pPr>
      <w:r w:rsidRPr="00420EEA">
        <w:rPr>
          <w:bCs/>
          <w:szCs w:val="22"/>
        </w:rPr>
        <w:t xml:space="preserve">If a supplier of a subcontracted process using material supplied by GT identifies a material as non-conforming, then the material should immediately be segregated by the supplier and the GT Supply Chain Sourcing and/or Procurement Specialist or VE be contacted for further action. </w:t>
      </w:r>
      <w:r>
        <w:rPr>
          <w:bCs/>
          <w:szCs w:val="22"/>
        </w:rPr>
        <w:t xml:space="preserve"> </w:t>
      </w:r>
      <w:r w:rsidRPr="00420EEA">
        <w:rPr>
          <w:bCs/>
          <w:szCs w:val="22"/>
        </w:rPr>
        <w:t>If a decision to proceed with the material is given by GT, then the supplier shall document this in the packing list documents upon material return to GT</w:t>
      </w:r>
      <w:r>
        <w:rPr>
          <w:bCs/>
          <w:szCs w:val="22"/>
        </w:rPr>
        <w:t>.</w:t>
      </w:r>
    </w:p>
    <w:p w14:paraId="662C64D4" w14:textId="79948971" w:rsidR="00DB5797" w:rsidRDefault="003E551E" w:rsidP="003E551E">
      <w:pPr>
        <w:pStyle w:val="kj0212"/>
        <w:tabs>
          <w:tab w:val="clear" w:pos="360"/>
          <w:tab w:val="clear" w:pos="547"/>
          <w:tab w:val="num" w:pos="540"/>
        </w:tabs>
      </w:pPr>
      <w:bookmarkStart w:id="61" w:name="_Toc161133603"/>
      <w:r>
        <w:t>Request for Engineering Change</w:t>
      </w:r>
      <w:bookmarkEnd w:id="61"/>
    </w:p>
    <w:p w14:paraId="37E6C64E" w14:textId="249ECE34" w:rsidR="00DB5797" w:rsidRPr="003E551E" w:rsidRDefault="003E551E" w:rsidP="003E551E">
      <w:pPr>
        <w:pStyle w:val="kj03123"/>
        <w:tabs>
          <w:tab w:val="clear" w:pos="360"/>
          <w:tab w:val="clear" w:pos="1267"/>
          <w:tab w:val="num" w:pos="1260"/>
        </w:tabs>
      </w:pPr>
      <w:r w:rsidRPr="00420EEA">
        <w:rPr>
          <w:bCs/>
          <w:szCs w:val="22"/>
        </w:rPr>
        <w:t>In the case that a supplier is having an ongoing issue problem or believes there is an unfeasible specification or requirement for a product that they have been contracted, a procedure for requesting engineering change has been established (GT procedure WI-GP-00-06.018</w:t>
      </w:r>
      <w:r>
        <w:rPr>
          <w:bCs/>
          <w:szCs w:val="22"/>
        </w:rPr>
        <w:t>).</w:t>
      </w:r>
    </w:p>
    <w:p w14:paraId="2F762FC2" w14:textId="787BBEBF" w:rsidR="003E551E" w:rsidRPr="003E551E" w:rsidRDefault="003E551E" w:rsidP="003E551E">
      <w:pPr>
        <w:pStyle w:val="kj03123"/>
        <w:tabs>
          <w:tab w:val="clear" w:pos="360"/>
          <w:tab w:val="clear" w:pos="1267"/>
          <w:tab w:val="num" w:pos="1260"/>
        </w:tabs>
      </w:pPr>
      <w:r w:rsidRPr="00420EEA">
        <w:rPr>
          <w:bCs/>
          <w:szCs w:val="22"/>
        </w:rPr>
        <w:t xml:space="preserve">The supplier should request from the appropriate GT Supply Chain Sourcing and/or Procurement specialist the current revision of form FR-GP- 0000-00.016 to document the proposed change and the repercussions of making or not making the change. </w:t>
      </w:r>
      <w:r>
        <w:rPr>
          <w:bCs/>
          <w:szCs w:val="22"/>
        </w:rPr>
        <w:t xml:space="preserve"> </w:t>
      </w:r>
      <w:r w:rsidRPr="00420EEA">
        <w:rPr>
          <w:bCs/>
          <w:szCs w:val="22"/>
        </w:rPr>
        <w:t xml:space="preserve">GT Supply Chain will forward the request to the Engineering personnel responsible for consideration, and if approved then the request will result in a change to the specification and/or drawing. </w:t>
      </w:r>
      <w:r>
        <w:rPr>
          <w:bCs/>
          <w:szCs w:val="22"/>
        </w:rPr>
        <w:t xml:space="preserve"> </w:t>
      </w:r>
      <w:r w:rsidRPr="00420EEA">
        <w:rPr>
          <w:bCs/>
          <w:szCs w:val="22"/>
        </w:rPr>
        <w:t>Upon release of a change the next open purchase order may include a request for a first article inspection to be submitted</w:t>
      </w:r>
      <w:r>
        <w:rPr>
          <w:bCs/>
          <w:szCs w:val="22"/>
        </w:rPr>
        <w:t>.</w:t>
      </w:r>
    </w:p>
    <w:p w14:paraId="50F6BC0D" w14:textId="1B8B87ED" w:rsidR="003E551E" w:rsidRDefault="003E551E" w:rsidP="003E551E">
      <w:pPr>
        <w:pStyle w:val="kj03123"/>
        <w:tabs>
          <w:tab w:val="clear" w:pos="360"/>
          <w:tab w:val="clear" w:pos="1267"/>
          <w:tab w:val="num" w:pos="1260"/>
        </w:tabs>
      </w:pPr>
      <w:r w:rsidRPr="00420EEA">
        <w:rPr>
          <w:bCs/>
          <w:szCs w:val="22"/>
        </w:rPr>
        <w:t>If the change is not approved GT Supply Chain will contact the supplier and the appropriate business decisions will be made regarding existing orders in accordance with GT requirements</w:t>
      </w:r>
      <w:r>
        <w:rPr>
          <w:bCs/>
          <w:szCs w:val="22"/>
        </w:rPr>
        <w:t>.</w:t>
      </w:r>
    </w:p>
    <w:p w14:paraId="13DC5EEA" w14:textId="0BD643A6" w:rsidR="00DB5797" w:rsidRDefault="00ED7275" w:rsidP="00ED7275">
      <w:pPr>
        <w:pStyle w:val="kj0212"/>
        <w:tabs>
          <w:tab w:val="clear" w:pos="360"/>
          <w:tab w:val="clear" w:pos="547"/>
          <w:tab w:val="num" w:pos="540"/>
        </w:tabs>
      </w:pPr>
      <w:bookmarkStart w:id="62" w:name="_Toc161133604"/>
      <w:r>
        <w:t>Sample Material Policy</w:t>
      </w:r>
      <w:bookmarkEnd w:id="62"/>
    </w:p>
    <w:p w14:paraId="32744954" w14:textId="49565117" w:rsidR="0086105D" w:rsidRPr="00ED7275" w:rsidRDefault="00ED7275" w:rsidP="0086105D">
      <w:pPr>
        <w:pStyle w:val="kj0212TextOnly"/>
      </w:pPr>
      <w:r w:rsidRPr="00420EEA">
        <w:t>Any materials entering a GT facili</w:t>
      </w:r>
      <w:r w:rsidRPr="001C7173">
        <w:rPr>
          <w:color w:val="000000" w:themeColor="text1"/>
        </w:rPr>
        <w:t>ty must be procured via a GT purchase order and include documentation in alignment with Section 5.1</w:t>
      </w:r>
      <w:r>
        <w:rPr>
          <w:color w:val="000000" w:themeColor="text1"/>
        </w:rPr>
        <w:t>.</w:t>
      </w:r>
      <w:r w:rsidR="0086105D">
        <w:rPr>
          <w:color w:val="000000" w:themeColor="text1"/>
        </w:rPr>
        <w:t xml:space="preserve">  </w:t>
      </w:r>
      <w:r w:rsidR="0086105D" w:rsidRPr="00420EEA">
        <w:t>No sample product or substance (whether solicited by GT employee or unsolicited) will be allowed within any GT facility, production process/product, or R&amp;D process/product, regardless of method of transport (hand carried by supplier representative, distributor, or GT employee, UPS, FedEx, etc</w:t>
      </w:r>
      <w:r w:rsidR="0086105D">
        <w:t>.) without the stated documentation.</w:t>
      </w:r>
    </w:p>
    <w:p w14:paraId="15D80061" w14:textId="4F7120D6" w:rsidR="00DB5797" w:rsidRDefault="00101602" w:rsidP="00101602">
      <w:pPr>
        <w:pStyle w:val="kj0212"/>
        <w:tabs>
          <w:tab w:val="clear" w:pos="360"/>
          <w:tab w:val="clear" w:pos="547"/>
          <w:tab w:val="num" w:pos="540"/>
        </w:tabs>
      </w:pPr>
      <w:bookmarkStart w:id="63" w:name="_Toc161133605"/>
      <w:r>
        <w:t>Sub-Tier Quality Assurance</w:t>
      </w:r>
      <w:bookmarkEnd w:id="63"/>
    </w:p>
    <w:p w14:paraId="1D03105D" w14:textId="1286CDB7" w:rsidR="00DB5797" w:rsidRDefault="00101602" w:rsidP="00101602">
      <w:pPr>
        <w:pStyle w:val="kj03123"/>
      </w:pPr>
      <w:r w:rsidRPr="00420EEA">
        <w:rPr>
          <w:bCs/>
          <w:szCs w:val="22"/>
        </w:rPr>
        <w:t>It is GT’s requirement that Tier 1 suppliers maintain responsibility for all sub-tier suppliers and processing providers, including flow down of purchase order requirements</w:t>
      </w:r>
      <w:r>
        <w:rPr>
          <w:bCs/>
          <w:szCs w:val="22"/>
        </w:rPr>
        <w:t>.</w:t>
      </w:r>
    </w:p>
    <w:p w14:paraId="63025971" w14:textId="4B0A0EC4" w:rsidR="00DB5797" w:rsidRPr="00101602" w:rsidRDefault="00101602" w:rsidP="00101602">
      <w:pPr>
        <w:pStyle w:val="kj041234"/>
        <w:ind w:hanging="1080"/>
      </w:pPr>
      <w:r w:rsidRPr="00420EEA">
        <w:rPr>
          <w:rFonts w:cs="Arial"/>
          <w:bCs/>
          <w:szCs w:val="22"/>
        </w:rPr>
        <w:t>ISO</w:t>
      </w:r>
      <w:r w:rsidR="00134A29">
        <w:rPr>
          <w:rFonts w:cs="Arial"/>
          <w:bCs/>
          <w:szCs w:val="22"/>
        </w:rPr>
        <w:t xml:space="preserve"> </w:t>
      </w:r>
      <w:r w:rsidRPr="00420EEA">
        <w:rPr>
          <w:rFonts w:cs="Arial"/>
          <w:bCs/>
          <w:szCs w:val="22"/>
        </w:rPr>
        <w:t>9001 Requirements – Control of documents and records, identification and traceability, control of monitoring and measuring equipment, control of non-conforming material, corrective and preventive action requirements must be flowed down to sub-tier processes to verify good product, reduce potential for error, and contain any suspect batch lots</w:t>
      </w:r>
      <w:r>
        <w:rPr>
          <w:rFonts w:cs="Arial"/>
          <w:bCs/>
          <w:szCs w:val="22"/>
        </w:rPr>
        <w:t>.</w:t>
      </w:r>
    </w:p>
    <w:p w14:paraId="276A138F" w14:textId="3616CD5A" w:rsidR="00101602" w:rsidRDefault="00101602" w:rsidP="00101602">
      <w:pPr>
        <w:pStyle w:val="kj041234"/>
        <w:ind w:hanging="1080"/>
      </w:pPr>
      <w:r w:rsidRPr="00420EEA">
        <w:rPr>
          <w:rFonts w:cs="Arial"/>
          <w:bCs/>
          <w:szCs w:val="22"/>
        </w:rPr>
        <w:t xml:space="preserve">Copy Exact Requirements – Process of Record requirements as noted in </w:t>
      </w:r>
      <w:r w:rsidRPr="006F3F2F">
        <w:rPr>
          <w:rFonts w:cs="Arial"/>
          <w:bCs/>
          <w:szCs w:val="22"/>
        </w:rPr>
        <w:t xml:space="preserve">Section </w:t>
      </w:r>
      <w:r w:rsidR="00134A29">
        <w:rPr>
          <w:rFonts w:cs="Arial"/>
          <w:bCs/>
          <w:szCs w:val="22"/>
        </w:rPr>
        <w:fldChar w:fldCharType="begin"/>
      </w:r>
      <w:r w:rsidR="00134A29">
        <w:rPr>
          <w:rFonts w:cs="Arial"/>
          <w:bCs/>
          <w:szCs w:val="22"/>
        </w:rPr>
        <w:instrText xml:space="preserve"> REF _Ref161045862 \r \h </w:instrText>
      </w:r>
      <w:r w:rsidR="00134A29">
        <w:rPr>
          <w:rFonts w:cs="Arial"/>
          <w:bCs/>
          <w:szCs w:val="22"/>
        </w:rPr>
      </w:r>
      <w:r w:rsidR="00134A29">
        <w:rPr>
          <w:rFonts w:cs="Arial"/>
          <w:bCs/>
          <w:szCs w:val="22"/>
        </w:rPr>
        <w:fldChar w:fldCharType="separate"/>
      </w:r>
      <w:r w:rsidR="00134A29">
        <w:rPr>
          <w:rFonts w:cs="Arial"/>
          <w:bCs/>
          <w:szCs w:val="22"/>
        </w:rPr>
        <w:t>6.5</w:t>
      </w:r>
      <w:r w:rsidR="00134A29">
        <w:rPr>
          <w:rFonts w:cs="Arial"/>
          <w:bCs/>
          <w:szCs w:val="22"/>
        </w:rPr>
        <w:fldChar w:fldCharType="end"/>
      </w:r>
      <w:r w:rsidRPr="006F3F2F">
        <w:rPr>
          <w:rFonts w:cs="Arial"/>
          <w:bCs/>
          <w:szCs w:val="22"/>
        </w:rPr>
        <w:t xml:space="preserve"> must </w:t>
      </w:r>
      <w:r w:rsidRPr="00420EEA">
        <w:rPr>
          <w:rFonts w:cs="Arial"/>
          <w:bCs/>
          <w:szCs w:val="22"/>
        </w:rPr>
        <w:t>be flowed down to sub-tier suppliers</w:t>
      </w:r>
      <w:r>
        <w:rPr>
          <w:rFonts w:cs="Arial"/>
          <w:bCs/>
          <w:szCs w:val="22"/>
        </w:rPr>
        <w:t>.</w:t>
      </w:r>
    </w:p>
    <w:p w14:paraId="407702EA" w14:textId="77777777" w:rsidR="00DB5797" w:rsidRDefault="00DB5797" w:rsidP="00066290">
      <w:pPr>
        <w:pStyle w:val="kj0010TextOnly"/>
        <w:rPr>
          <w:rFonts w:cs="Arial"/>
        </w:rPr>
      </w:pPr>
    </w:p>
    <w:p w14:paraId="28DE8700" w14:textId="77777777" w:rsidR="00101602" w:rsidRDefault="001D5FBA" w:rsidP="00101602">
      <w:hyperlink w:anchor="TableOfContents" w:history="1">
        <w:r w:rsidR="00101602" w:rsidRPr="00066290">
          <w:rPr>
            <w:rStyle w:val="Hyperlink"/>
            <w:rFonts w:cs="Arial"/>
            <w:sz w:val="16"/>
            <w:szCs w:val="14"/>
          </w:rPr>
          <w:t>Return to Table of Contents</w:t>
        </w:r>
      </w:hyperlink>
      <w:r w:rsidR="00101602">
        <w:br w:type="page"/>
      </w:r>
    </w:p>
    <w:p w14:paraId="0F55F4DA" w14:textId="060FA424" w:rsidR="00DB5797" w:rsidRPr="00101602" w:rsidRDefault="00101602" w:rsidP="00101602">
      <w:pPr>
        <w:pStyle w:val="kj041234"/>
        <w:ind w:hanging="1080"/>
      </w:pPr>
      <w:r w:rsidRPr="00420EEA">
        <w:rPr>
          <w:rFonts w:cs="Arial"/>
          <w:bCs/>
          <w:szCs w:val="22"/>
        </w:rPr>
        <w:t xml:space="preserve">Sub-Tier Special Processes </w:t>
      </w:r>
      <w:r>
        <w:rPr>
          <w:rFonts w:cs="Arial"/>
          <w:bCs/>
          <w:szCs w:val="22"/>
        </w:rPr>
        <w:t>and</w:t>
      </w:r>
      <w:r w:rsidRPr="00420EEA">
        <w:rPr>
          <w:rFonts w:cs="Arial"/>
          <w:bCs/>
          <w:szCs w:val="22"/>
        </w:rPr>
        <w:t xml:space="preserve"> NADCAP Requirements – Certain end customers of GT may require additional NADCAP certification on sub</w:t>
      </w:r>
      <w:r>
        <w:rPr>
          <w:rFonts w:cs="Arial"/>
          <w:bCs/>
          <w:szCs w:val="22"/>
        </w:rPr>
        <w:t>-</w:t>
      </w:r>
      <w:r w:rsidRPr="00420EEA">
        <w:rPr>
          <w:rFonts w:cs="Arial"/>
          <w:bCs/>
          <w:szCs w:val="22"/>
        </w:rPr>
        <w:t xml:space="preserve">tier sources that perform special processes. </w:t>
      </w:r>
      <w:r>
        <w:rPr>
          <w:rFonts w:cs="Arial"/>
          <w:bCs/>
          <w:szCs w:val="22"/>
        </w:rPr>
        <w:t xml:space="preserve"> </w:t>
      </w:r>
      <w:r w:rsidRPr="00420EEA">
        <w:rPr>
          <w:rFonts w:cs="Arial"/>
          <w:bCs/>
          <w:szCs w:val="22"/>
        </w:rPr>
        <w:t xml:space="preserve">Such special processes may include but are not limited to chemical processing, coating application, composite materials, machining, heat treating, material testing, non-destructive testing, and welding. </w:t>
      </w:r>
      <w:r>
        <w:rPr>
          <w:rFonts w:cs="Arial"/>
          <w:bCs/>
          <w:szCs w:val="22"/>
        </w:rPr>
        <w:t xml:space="preserve"> </w:t>
      </w:r>
      <w:r w:rsidRPr="00420EEA">
        <w:rPr>
          <w:rFonts w:cs="Arial"/>
          <w:bCs/>
          <w:szCs w:val="22"/>
        </w:rPr>
        <w:t>If applicable, these requirements may be noted in the purchase order, contract, or engineering print and adherence must be strictly enforced</w:t>
      </w:r>
      <w:r>
        <w:rPr>
          <w:rFonts w:cs="Arial"/>
          <w:bCs/>
          <w:szCs w:val="22"/>
        </w:rPr>
        <w:t>.</w:t>
      </w:r>
    </w:p>
    <w:p w14:paraId="49840210" w14:textId="725C1C40" w:rsidR="00101602" w:rsidRPr="00101602" w:rsidRDefault="00101602" w:rsidP="00101602">
      <w:pPr>
        <w:pStyle w:val="kj041234"/>
        <w:ind w:hanging="1080"/>
      </w:pPr>
      <w:r w:rsidRPr="00420EEA">
        <w:rPr>
          <w:rFonts w:cs="Arial"/>
          <w:bCs/>
          <w:szCs w:val="22"/>
        </w:rPr>
        <w:t xml:space="preserve">Test Laboratories </w:t>
      </w:r>
      <w:r w:rsidR="00083C8C">
        <w:rPr>
          <w:rFonts w:cs="Arial"/>
          <w:bCs/>
          <w:szCs w:val="22"/>
        </w:rPr>
        <w:t>and</w:t>
      </w:r>
      <w:r w:rsidRPr="00420EEA">
        <w:rPr>
          <w:rFonts w:cs="Arial"/>
          <w:bCs/>
          <w:szCs w:val="22"/>
        </w:rPr>
        <w:t xml:space="preserve"> Calibration – Sub-tier sources for testing are required to be certified to ISO</w:t>
      </w:r>
      <w:r w:rsidR="00550E8E">
        <w:rPr>
          <w:rFonts w:cs="Arial"/>
          <w:bCs/>
          <w:szCs w:val="22"/>
        </w:rPr>
        <w:t xml:space="preserve">/IEC </w:t>
      </w:r>
      <w:r w:rsidRPr="00420EEA">
        <w:rPr>
          <w:rFonts w:cs="Arial"/>
          <w:bCs/>
          <w:szCs w:val="22"/>
        </w:rPr>
        <w:t xml:space="preserve">17025 with a scope which includes the type of testing being performed. </w:t>
      </w:r>
      <w:r>
        <w:rPr>
          <w:rFonts w:cs="Arial"/>
          <w:bCs/>
          <w:szCs w:val="22"/>
        </w:rPr>
        <w:t xml:space="preserve"> </w:t>
      </w:r>
      <w:r w:rsidRPr="00420EEA">
        <w:rPr>
          <w:rFonts w:cs="Arial"/>
          <w:bCs/>
          <w:szCs w:val="22"/>
        </w:rPr>
        <w:t>All inspection measurements which take place at a sub-tier facility shall be conducted using the appropriate equipment which is calibrated in accordance with a recognized standard (such as ISO</w:t>
      </w:r>
      <w:r w:rsidR="00550E8E">
        <w:rPr>
          <w:rFonts w:cs="Arial"/>
          <w:bCs/>
          <w:szCs w:val="22"/>
        </w:rPr>
        <w:t xml:space="preserve"> </w:t>
      </w:r>
      <w:r w:rsidRPr="00420EEA">
        <w:rPr>
          <w:rFonts w:cs="Arial"/>
          <w:bCs/>
          <w:szCs w:val="22"/>
        </w:rPr>
        <w:t>10012 or ANSI/NCSL Z540.3</w:t>
      </w:r>
      <w:r>
        <w:rPr>
          <w:rFonts w:cs="Arial"/>
          <w:bCs/>
          <w:szCs w:val="22"/>
        </w:rPr>
        <w:t>).</w:t>
      </w:r>
    </w:p>
    <w:p w14:paraId="6348099E" w14:textId="1A9C3B1E" w:rsidR="00101602" w:rsidRDefault="00101602" w:rsidP="00101602">
      <w:pPr>
        <w:pStyle w:val="kj041234"/>
        <w:ind w:hanging="1080"/>
      </w:pPr>
      <w:r w:rsidRPr="00420EEA">
        <w:rPr>
          <w:rFonts w:cs="Arial"/>
          <w:bCs/>
          <w:szCs w:val="22"/>
        </w:rPr>
        <w:t xml:space="preserve">AAM Application – Requirements as noted </w:t>
      </w:r>
      <w:r w:rsidRPr="0074336F">
        <w:rPr>
          <w:rFonts w:cs="Arial"/>
          <w:bCs/>
          <w:color w:val="000000" w:themeColor="text1"/>
          <w:szCs w:val="22"/>
        </w:rPr>
        <w:t>in Section 6.1</w:t>
      </w:r>
      <w:r>
        <w:rPr>
          <w:rFonts w:cs="Arial"/>
          <w:bCs/>
          <w:color w:val="000000" w:themeColor="text1"/>
          <w:szCs w:val="22"/>
        </w:rPr>
        <w:t>9</w:t>
      </w:r>
      <w:r w:rsidRPr="0074336F">
        <w:rPr>
          <w:rFonts w:cs="Arial"/>
          <w:bCs/>
          <w:color w:val="000000" w:themeColor="text1"/>
          <w:szCs w:val="22"/>
        </w:rPr>
        <w:t xml:space="preserve"> must be </w:t>
      </w:r>
      <w:r w:rsidRPr="00420EEA">
        <w:rPr>
          <w:rFonts w:cs="Arial"/>
          <w:bCs/>
          <w:szCs w:val="22"/>
        </w:rPr>
        <w:t>flowed down to sub-tier suppliers</w:t>
      </w:r>
      <w:r>
        <w:rPr>
          <w:rFonts w:cs="Arial"/>
          <w:bCs/>
          <w:szCs w:val="22"/>
        </w:rPr>
        <w:t>.</w:t>
      </w:r>
    </w:p>
    <w:p w14:paraId="7059DECF" w14:textId="229046B1" w:rsidR="00101602" w:rsidRDefault="00101602" w:rsidP="00101602">
      <w:pPr>
        <w:pStyle w:val="kj03123"/>
        <w:tabs>
          <w:tab w:val="clear" w:pos="360"/>
          <w:tab w:val="clear" w:pos="1267"/>
          <w:tab w:val="num" w:pos="1260"/>
        </w:tabs>
      </w:pPr>
      <w:r w:rsidRPr="00420EEA">
        <w:rPr>
          <w:bCs/>
          <w:szCs w:val="22"/>
        </w:rPr>
        <w:t>Suppliers shall ensure that their sub-tier suppliers are aware of their contribution to conformity of the product or service, to product safety, and to the importance of ethical behavior</w:t>
      </w:r>
      <w:r>
        <w:rPr>
          <w:bCs/>
          <w:szCs w:val="22"/>
        </w:rPr>
        <w:t>.</w:t>
      </w:r>
    </w:p>
    <w:p w14:paraId="3372E9FF" w14:textId="04F5F3C7" w:rsidR="00101602" w:rsidRDefault="00E26FE2" w:rsidP="00E26FE2">
      <w:pPr>
        <w:pStyle w:val="kj0212"/>
        <w:tabs>
          <w:tab w:val="clear" w:pos="360"/>
          <w:tab w:val="clear" w:pos="547"/>
          <w:tab w:val="num" w:pos="540"/>
        </w:tabs>
      </w:pPr>
      <w:bookmarkStart w:id="64" w:name="_Toc161133606"/>
      <w:r>
        <w:t>Traceability, Acceptance Authority Media and Identification Marking</w:t>
      </w:r>
      <w:bookmarkEnd w:id="64"/>
    </w:p>
    <w:p w14:paraId="1F75A718" w14:textId="7FE4ABA8" w:rsidR="00101602" w:rsidRPr="00E26FE2" w:rsidRDefault="00E26FE2" w:rsidP="00E26FE2">
      <w:pPr>
        <w:pStyle w:val="kj03123"/>
        <w:tabs>
          <w:tab w:val="clear" w:pos="360"/>
          <w:tab w:val="clear" w:pos="1267"/>
          <w:tab w:val="num" w:pos="1260"/>
        </w:tabs>
      </w:pPr>
      <w:r w:rsidRPr="00420EEA">
        <w:rPr>
          <w:bCs/>
          <w:szCs w:val="22"/>
        </w:rPr>
        <w:t>The supplier must maintain product traceability throughout all steps of the manufacturing process including all sub-tier processing</w:t>
      </w:r>
      <w:r>
        <w:rPr>
          <w:bCs/>
          <w:szCs w:val="22"/>
        </w:rPr>
        <w:t>.</w:t>
      </w:r>
    </w:p>
    <w:p w14:paraId="739C74DA" w14:textId="08AB4B27" w:rsidR="00E26FE2" w:rsidRPr="00E26FE2" w:rsidRDefault="00E26FE2" w:rsidP="00E26FE2">
      <w:pPr>
        <w:pStyle w:val="kj03123"/>
        <w:tabs>
          <w:tab w:val="clear" w:pos="360"/>
          <w:tab w:val="clear" w:pos="1267"/>
          <w:tab w:val="num" w:pos="1260"/>
        </w:tabs>
      </w:pPr>
      <w:r w:rsidRPr="00420EEA">
        <w:rPr>
          <w:bCs/>
          <w:szCs w:val="22"/>
        </w:rPr>
        <w:t>All GT suppliers must have a batch/lot identification system that distinguishes one batch/lot of material from another and which must include traceability to the direct source of the raw material lots.</w:t>
      </w:r>
      <w:r>
        <w:rPr>
          <w:bCs/>
          <w:szCs w:val="22"/>
        </w:rPr>
        <w:t xml:space="preserve"> </w:t>
      </w:r>
      <w:r w:rsidRPr="00420EEA">
        <w:rPr>
          <w:bCs/>
          <w:szCs w:val="22"/>
        </w:rPr>
        <w:t xml:space="preserve"> The traceability documentation must be able to identify the name and location of the source of the raw material lot as well as all supply chain intermediaries such as distributors or brokers or secondary process suppliers</w:t>
      </w:r>
      <w:r>
        <w:rPr>
          <w:bCs/>
          <w:szCs w:val="22"/>
        </w:rPr>
        <w:t>.</w:t>
      </w:r>
    </w:p>
    <w:p w14:paraId="6CA2DF20" w14:textId="38112446" w:rsidR="00E26FE2" w:rsidRPr="00E26FE2" w:rsidRDefault="00E26FE2" w:rsidP="00E26FE2">
      <w:pPr>
        <w:pStyle w:val="kj03123"/>
        <w:tabs>
          <w:tab w:val="clear" w:pos="360"/>
          <w:tab w:val="clear" w:pos="1267"/>
          <w:tab w:val="num" w:pos="1260"/>
        </w:tabs>
      </w:pPr>
      <w:r w:rsidRPr="00420EEA">
        <w:rPr>
          <w:bCs/>
          <w:szCs w:val="22"/>
        </w:rPr>
        <w:t>If the supplier determines that lot traceability has not been maintained, they are to immediately contact GT and perform adequate containment of nonconforming material</w:t>
      </w:r>
      <w:r>
        <w:rPr>
          <w:bCs/>
          <w:szCs w:val="22"/>
        </w:rPr>
        <w:t>.</w:t>
      </w:r>
    </w:p>
    <w:p w14:paraId="711AD808" w14:textId="1EBB6242" w:rsidR="00E26FE2" w:rsidRPr="00E26FE2" w:rsidRDefault="00E26FE2" w:rsidP="00E26FE2">
      <w:pPr>
        <w:pStyle w:val="kj03123"/>
        <w:tabs>
          <w:tab w:val="clear" w:pos="360"/>
          <w:tab w:val="clear" w:pos="1267"/>
          <w:tab w:val="num" w:pos="1260"/>
        </w:tabs>
      </w:pPr>
      <w:r w:rsidRPr="00420EEA">
        <w:rPr>
          <w:bCs/>
          <w:szCs w:val="22"/>
        </w:rPr>
        <w:t>Acceptance Authority Media (AAM) is any media used to record the status of tasks/operations on product or product records during and upon completion of development, manufacturing, modification, or repair</w:t>
      </w:r>
      <w:r>
        <w:rPr>
          <w:bCs/>
          <w:szCs w:val="22"/>
        </w:rPr>
        <w:t>.</w:t>
      </w:r>
    </w:p>
    <w:p w14:paraId="63E658EC" w14:textId="6E45C531" w:rsidR="00E26FE2" w:rsidRPr="00E26FE2" w:rsidRDefault="00E26FE2" w:rsidP="00E26FE2">
      <w:pPr>
        <w:pStyle w:val="kj03123"/>
        <w:tabs>
          <w:tab w:val="clear" w:pos="360"/>
          <w:tab w:val="clear" w:pos="1267"/>
          <w:tab w:val="num" w:pos="1260"/>
        </w:tabs>
      </w:pPr>
      <w:r w:rsidRPr="00420EEA">
        <w:rPr>
          <w:bCs/>
          <w:szCs w:val="22"/>
        </w:rPr>
        <w:t xml:space="preserve">Examples of AAM are stamps, electronic signatures, or passwords which establish appropriate controls for signoff </w:t>
      </w:r>
      <w:r>
        <w:rPr>
          <w:bCs/>
          <w:szCs w:val="22"/>
        </w:rPr>
        <w:t>and</w:t>
      </w:r>
      <w:r w:rsidRPr="00420EEA">
        <w:rPr>
          <w:bCs/>
          <w:szCs w:val="22"/>
        </w:rPr>
        <w:t xml:space="preserve"> approval. </w:t>
      </w:r>
      <w:r>
        <w:rPr>
          <w:bCs/>
          <w:szCs w:val="22"/>
        </w:rPr>
        <w:t xml:space="preserve"> </w:t>
      </w:r>
      <w:r w:rsidRPr="00420EEA">
        <w:rPr>
          <w:bCs/>
          <w:szCs w:val="22"/>
        </w:rPr>
        <w:t xml:space="preserve">The supplier is responsible for auditing their processes for any AAM application errors (omissions, typos, legibility), ensure it is used in a timely manner (i.e., stamp or sign as you go and not only at the end of process), and ensure no AAM application misrepresentations occur (e.g., uncertified personnel, falsification of documentation, work not performed as planned).  AAM application training should occur which adequately communicates subjects such as ethics and proper use of AAM. </w:t>
      </w:r>
      <w:r>
        <w:rPr>
          <w:bCs/>
          <w:szCs w:val="22"/>
        </w:rPr>
        <w:t xml:space="preserve"> </w:t>
      </w:r>
      <w:r w:rsidRPr="00420EEA">
        <w:rPr>
          <w:bCs/>
          <w:szCs w:val="22"/>
        </w:rPr>
        <w:t>Assessment of AAM application is an area of special interest to be flowed down with all sub-tier suppliers</w:t>
      </w:r>
      <w:r>
        <w:rPr>
          <w:bCs/>
          <w:szCs w:val="22"/>
        </w:rPr>
        <w:t>.</w:t>
      </w:r>
    </w:p>
    <w:p w14:paraId="5DAAD87B" w14:textId="11848387" w:rsidR="00E26FE2" w:rsidRDefault="00E26FE2" w:rsidP="00E26FE2">
      <w:pPr>
        <w:pStyle w:val="kj03123"/>
        <w:tabs>
          <w:tab w:val="clear" w:pos="360"/>
          <w:tab w:val="clear" w:pos="1267"/>
          <w:tab w:val="num" w:pos="1260"/>
        </w:tabs>
      </w:pPr>
      <w:r w:rsidRPr="00420EEA">
        <w:rPr>
          <w:bCs/>
          <w:szCs w:val="22"/>
        </w:rPr>
        <w:t xml:space="preserve">The supplier shall ensure that all supplied products have part identification legibly marked per requirements and method specified by the GT purchase order and engineering print. </w:t>
      </w:r>
      <w:r>
        <w:rPr>
          <w:bCs/>
          <w:szCs w:val="22"/>
        </w:rPr>
        <w:t xml:space="preserve"> </w:t>
      </w:r>
      <w:r w:rsidRPr="00420EEA">
        <w:rPr>
          <w:bCs/>
          <w:szCs w:val="22"/>
        </w:rPr>
        <w:t>If a question or any doubts exist on the application of these requirements, please contact your GT Supply Chain contact for clarification</w:t>
      </w:r>
      <w:r>
        <w:rPr>
          <w:bCs/>
          <w:szCs w:val="22"/>
        </w:rPr>
        <w:t>.</w:t>
      </w:r>
    </w:p>
    <w:p w14:paraId="47CD912A" w14:textId="77777777" w:rsidR="00066290" w:rsidRPr="00066290" w:rsidRDefault="00066290" w:rsidP="00066290">
      <w:pPr>
        <w:pStyle w:val="kj0010"/>
        <w:tabs>
          <w:tab w:val="clear" w:pos="360"/>
        </w:tabs>
        <w:rPr>
          <w:rFonts w:cs="Arial"/>
        </w:rPr>
      </w:pPr>
      <w:bookmarkStart w:id="65" w:name="_Toc67394576"/>
      <w:bookmarkStart w:id="66" w:name="_Toc161133607"/>
      <w:r w:rsidRPr="00066290">
        <w:rPr>
          <w:rFonts w:cs="Arial"/>
        </w:rPr>
        <w:t>References</w:t>
      </w:r>
      <w:bookmarkEnd w:id="65"/>
      <w:bookmarkEnd w:id="66"/>
    </w:p>
    <w:p w14:paraId="2EED514E" w14:textId="5494333A" w:rsidR="00E26FE2" w:rsidRDefault="00E26FE2" w:rsidP="00E26FE2">
      <w:pPr>
        <w:pStyle w:val="kj0212"/>
        <w:tabs>
          <w:tab w:val="clear" w:pos="360"/>
          <w:tab w:val="clear" w:pos="547"/>
          <w:tab w:val="num" w:pos="540"/>
        </w:tabs>
      </w:pPr>
      <w:bookmarkStart w:id="67" w:name="_Toc161133608"/>
      <w:r>
        <w:t>Acronyms and Glossary of GT Terms</w:t>
      </w:r>
      <w:bookmarkEnd w:id="67"/>
    </w:p>
    <w:p w14:paraId="11B580E1" w14:textId="355A4F5C" w:rsidR="00E26FE2" w:rsidRPr="00E26FE2" w:rsidRDefault="00E26FE2" w:rsidP="00E26FE2">
      <w:pPr>
        <w:pStyle w:val="kj03123"/>
        <w:tabs>
          <w:tab w:val="clear" w:pos="360"/>
          <w:tab w:val="clear" w:pos="1267"/>
          <w:tab w:val="num" w:pos="1260"/>
        </w:tabs>
      </w:pPr>
      <w:r w:rsidRPr="00420EEA">
        <w:rPr>
          <w:rFonts w:cs="Arial"/>
          <w:bCs/>
          <w:szCs w:val="22"/>
        </w:rPr>
        <w:t>A3 Action Plan – Single page (11x17) corrective action reporting</w:t>
      </w:r>
      <w:r>
        <w:rPr>
          <w:rFonts w:cs="Arial"/>
          <w:bCs/>
          <w:szCs w:val="22"/>
        </w:rPr>
        <w:t xml:space="preserve"> format</w:t>
      </w:r>
    </w:p>
    <w:p w14:paraId="680BE733" w14:textId="089E01AD" w:rsidR="00E26FE2" w:rsidRPr="00E26FE2" w:rsidRDefault="00E26FE2" w:rsidP="00E26FE2">
      <w:pPr>
        <w:pStyle w:val="kj03123"/>
        <w:tabs>
          <w:tab w:val="clear" w:pos="360"/>
          <w:tab w:val="clear" w:pos="1267"/>
          <w:tab w:val="num" w:pos="1260"/>
        </w:tabs>
      </w:pPr>
      <w:r w:rsidRPr="00420EEA">
        <w:rPr>
          <w:rFonts w:cs="Arial"/>
          <w:bCs/>
          <w:szCs w:val="22"/>
        </w:rPr>
        <w:t>A Suppliers – Suppliers who make up the top 80% of overall GT spend (80%, 15%, 5% in spend analysis</w:t>
      </w:r>
      <w:r>
        <w:rPr>
          <w:rFonts w:cs="Arial"/>
          <w:bCs/>
          <w:szCs w:val="22"/>
        </w:rPr>
        <w:t>)</w:t>
      </w:r>
    </w:p>
    <w:p w14:paraId="5C291C48" w14:textId="3F8B942D" w:rsidR="00E26FE2" w:rsidRPr="00E26FE2" w:rsidRDefault="00E26FE2" w:rsidP="00E26FE2">
      <w:pPr>
        <w:pStyle w:val="kj03123"/>
        <w:tabs>
          <w:tab w:val="clear" w:pos="360"/>
          <w:tab w:val="clear" w:pos="1267"/>
          <w:tab w:val="num" w:pos="1260"/>
        </w:tabs>
      </w:pPr>
      <w:r w:rsidRPr="00420EEA">
        <w:rPr>
          <w:rFonts w:cs="Arial"/>
          <w:bCs/>
          <w:szCs w:val="22"/>
        </w:rPr>
        <w:t>AAM – Acceptance Authority Media (e.g., Stamps, electronic signatures, passwords</w:t>
      </w:r>
      <w:r>
        <w:rPr>
          <w:rFonts w:cs="Arial"/>
          <w:bCs/>
          <w:szCs w:val="22"/>
        </w:rPr>
        <w:t>)</w:t>
      </w:r>
    </w:p>
    <w:p w14:paraId="3638D3A3" w14:textId="5A4981D9" w:rsidR="00E26FE2" w:rsidRPr="00E26FE2" w:rsidRDefault="00E26FE2" w:rsidP="00E26FE2">
      <w:pPr>
        <w:pStyle w:val="kj03123"/>
        <w:tabs>
          <w:tab w:val="clear" w:pos="360"/>
          <w:tab w:val="clear" w:pos="1267"/>
          <w:tab w:val="num" w:pos="1260"/>
        </w:tabs>
      </w:pPr>
      <w:r w:rsidRPr="00420EEA">
        <w:rPr>
          <w:rFonts w:cs="Arial"/>
          <w:bCs/>
          <w:szCs w:val="22"/>
        </w:rPr>
        <w:t>AIAG – Automotive Industry Action Group (specification source</w:t>
      </w:r>
      <w:r>
        <w:rPr>
          <w:rFonts w:cs="Arial"/>
          <w:bCs/>
          <w:szCs w:val="22"/>
        </w:rPr>
        <w:t>)</w:t>
      </w:r>
    </w:p>
    <w:p w14:paraId="06894041" w14:textId="77777777" w:rsidR="00E26FE2" w:rsidRPr="00420EEA" w:rsidRDefault="00E26FE2" w:rsidP="00EF27E3">
      <w:pPr>
        <w:pStyle w:val="kj03123"/>
        <w:tabs>
          <w:tab w:val="clear" w:pos="360"/>
          <w:tab w:val="clear" w:pos="1267"/>
          <w:tab w:val="num" w:pos="1260"/>
        </w:tabs>
        <w:rPr>
          <w:b/>
        </w:rPr>
      </w:pPr>
      <w:r w:rsidRPr="00420EEA">
        <w:t>ANOVA – Analysis of Variance</w:t>
      </w:r>
    </w:p>
    <w:p w14:paraId="1E831BE8" w14:textId="51F76C7D" w:rsidR="00E26FE2" w:rsidRDefault="00E26FE2" w:rsidP="00EF27E3">
      <w:pPr>
        <w:pStyle w:val="kj03123"/>
        <w:tabs>
          <w:tab w:val="clear" w:pos="360"/>
          <w:tab w:val="clear" w:pos="1267"/>
          <w:tab w:val="num" w:pos="1260"/>
        </w:tabs>
      </w:pPr>
      <w:r w:rsidRPr="00420EEA">
        <w:t>ANSI – American National Standards Institute (specification source</w:t>
      </w:r>
      <w:r>
        <w:t>)</w:t>
      </w:r>
    </w:p>
    <w:p w14:paraId="33997C07" w14:textId="533714C9" w:rsidR="00E26FE2" w:rsidRPr="00E26FE2" w:rsidRDefault="00E26FE2" w:rsidP="00EF27E3">
      <w:pPr>
        <w:pStyle w:val="kj03123"/>
        <w:tabs>
          <w:tab w:val="clear" w:pos="360"/>
          <w:tab w:val="clear" w:pos="1267"/>
          <w:tab w:val="num" w:pos="1260"/>
        </w:tabs>
      </w:pPr>
      <w:r w:rsidRPr="00420EEA">
        <w:rPr>
          <w:rFonts w:cs="Arial"/>
          <w:bCs/>
          <w:szCs w:val="22"/>
        </w:rPr>
        <w:t>APQP – Advanced Product Quality</w:t>
      </w:r>
      <w:r>
        <w:rPr>
          <w:rFonts w:cs="Arial"/>
          <w:bCs/>
          <w:szCs w:val="22"/>
        </w:rPr>
        <w:t xml:space="preserve"> Planning</w:t>
      </w:r>
    </w:p>
    <w:p w14:paraId="47CD5EE3" w14:textId="34123181" w:rsidR="00E26FE2" w:rsidRPr="00E26FE2" w:rsidRDefault="00E26FE2" w:rsidP="00EF27E3">
      <w:pPr>
        <w:pStyle w:val="kj03123"/>
        <w:tabs>
          <w:tab w:val="clear" w:pos="360"/>
          <w:tab w:val="clear" w:pos="1267"/>
          <w:tab w:val="num" w:pos="1260"/>
        </w:tabs>
      </w:pPr>
      <w:r w:rsidRPr="00420EEA">
        <w:rPr>
          <w:rFonts w:cs="Arial"/>
          <w:bCs/>
          <w:szCs w:val="22"/>
        </w:rPr>
        <w:t>AQL – Acceptance Quality</w:t>
      </w:r>
      <w:r>
        <w:rPr>
          <w:rFonts w:cs="Arial"/>
          <w:bCs/>
          <w:szCs w:val="22"/>
        </w:rPr>
        <w:t xml:space="preserve"> Level</w:t>
      </w:r>
    </w:p>
    <w:p w14:paraId="18BDE11F" w14:textId="6C1F7A1A" w:rsidR="00E26FE2" w:rsidRPr="00EF27E3" w:rsidRDefault="00E26FE2" w:rsidP="00EF27E3">
      <w:pPr>
        <w:pStyle w:val="kj03123"/>
        <w:tabs>
          <w:tab w:val="clear" w:pos="360"/>
          <w:tab w:val="clear" w:pos="1267"/>
          <w:tab w:val="num" w:pos="1260"/>
        </w:tabs>
      </w:pPr>
      <w:r w:rsidRPr="00420EEA">
        <w:rPr>
          <w:rFonts w:cs="Arial"/>
          <w:bCs/>
          <w:szCs w:val="22"/>
        </w:rPr>
        <w:t>ASME – American Society of Mechanical Engineers (specification source</w:t>
      </w:r>
      <w:r>
        <w:rPr>
          <w:rFonts w:cs="Arial"/>
          <w:bCs/>
          <w:szCs w:val="22"/>
        </w:rPr>
        <w:t>)</w:t>
      </w:r>
    </w:p>
    <w:p w14:paraId="377CC595" w14:textId="10C6E3C1" w:rsidR="00EF27E3" w:rsidRPr="00EF27E3" w:rsidRDefault="00EF27E3" w:rsidP="00EF27E3">
      <w:pPr>
        <w:pStyle w:val="kj03123"/>
        <w:tabs>
          <w:tab w:val="clear" w:pos="360"/>
          <w:tab w:val="clear" w:pos="1267"/>
          <w:tab w:val="num" w:pos="1260"/>
        </w:tabs>
      </w:pPr>
      <w:r w:rsidRPr="00420EEA">
        <w:rPr>
          <w:rFonts w:cs="Arial"/>
          <w:bCs/>
          <w:szCs w:val="22"/>
        </w:rPr>
        <w:t>ASN – Advance Shipment</w:t>
      </w:r>
      <w:r>
        <w:rPr>
          <w:rFonts w:cs="Arial"/>
          <w:bCs/>
          <w:szCs w:val="22"/>
        </w:rPr>
        <w:t xml:space="preserve"> Notification</w:t>
      </w:r>
    </w:p>
    <w:p w14:paraId="08085499" w14:textId="3916A3CD" w:rsidR="00EF27E3" w:rsidRPr="00EF27E3" w:rsidRDefault="00EF27E3" w:rsidP="00EF27E3">
      <w:pPr>
        <w:pStyle w:val="kj03123"/>
        <w:tabs>
          <w:tab w:val="clear" w:pos="360"/>
          <w:tab w:val="clear" w:pos="1267"/>
          <w:tab w:val="num" w:pos="1260"/>
        </w:tabs>
      </w:pPr>
      <w:r w:rsidRPr="00420EEA">
        <w:rPr>
          <w:rFonts w:cs="Arial"/>
          <w:bCs/>
          <w:szCs w:val="22"/>
        </w:rPr>
        <w:t>ASTM - American Society for Testing and Materials (specification source</w:t>
      </w:r>
      <w:r>
        <w:rPr>
          <w:rFonts w:cs="Arial"/>
          <w:bCs/>
          <w:szCs w:val="22"/>
        </w:rPr>
        <w:t>)</w:t>
      </w:r>
    </w:p>
    <w:p w14:paraId="13F89ECE" w14:textId="09D92589" w:rsidR="00EF27E3" w:rsidRPr="00EF27E3" w:rsidRDefault="00EF27E3" w:rsidP="00EF27E3">
      <w:pPr>
        <w:pStyle w:val="kj03123"/>
        <w:tabs>
          <w:tab w:val="clear" w:pos="360"/>
          <w:tab w:val="clear" w:pos="1267"/>
          <w:tab w:val="num" w:pos="1260"/>
        </w:tabs>
      </w:pPr>
      <w:r w:rsidRPr="00420EEA">
        <w:rPr>
          <w:rFonts w:cs="Arial"/>
          <w:bCs/>
          <w:szCs w:val="22"/>
        </w:rPr>
        <w:t>ATG – Advanced Technology</w:t>
      </w:r>
      <w:r>
        <w:rPr>
          <w:rFonts w:cs="Arial"/>
          <w:bCs/>
          <w:szCs w:val="22"/>
        </w:rPr>
        <w:t xml:space="preserve"> Group</w:t>
      </w:r>
    </w:p>
    <w:p w14:paraId="0B2170EB" w14:textId="29BE2CFC" w:rsidR="00EF27E3" w:rsidRPr="00EF27E3" w:rsidRDefault="00EF27E3" w:rsidP="00EF27E3">
      <w:pPr>
        <w:pStyle w:val="kj03123"/>
        <w:tabs>
          <w:tab w:val="clear" w:pos="360"/>
          <w:tab w:val="clear" w:pos="1267"/>
          <w:tab w:val="num" w:pos="1260"/>
        </w:tabs>
      </w:pPr>
      <w:r>
        <w:rPr>
          <w:rFonts w:cs="Arial"/>
          <w:bCs/>
          <w:szCs w:val="22"/>
        </w:rPr>
        <w:t>AVL – Approved Vendor List</w:t>
      </w:r>
    </w:p>
    <w:p w14:paraId="7CF8C668" w14:textId="626B13DE" w:rsidR="00EF27E3" w:rsidRPr="00EF27E3" w:rsidRDefault="00EF27E3" w:rsidP="00EF27E3">
      <w:pPr>
        <w:pStyle w:val="kj03123"/>
        <w:tabs>
          <w:tab w:val="clear" w:pos="360"/>
          <w:tab w:val="clear" w:pos="1267"/>
          <w:tab w:val="num" w:pos="1260"/>
        </w:tabs>
      </w:pPr>
      <w:r w:rsidRPr="00420EEA">
        <w:rPr>
          <w:rFonts w:cs="Arial"/>
          <w:bCs/>
          <w:szCs w:val="22"/>
        </w:rPr>
        <w:t>B Suppliers – Suppliers who make up the middle 15% of overall GT spend (80%, 15%, 5% in spend analysis</w:t>
      </w:r>
      <w:r>
        <w:rPr>
          <w:rFonts w:cs="Arial"/>
          <w:bCs/>
          <w:szCs w:val="22"/>
        </w:rPr>
        <w:t>)</w:t>
      </w:r>
    </w:p>
    <w:p w14:paraId="5883837F" w14:textId="1C87EA13" w:rsidR="00EF27E3" w:rsidRPr="00BB242B" w:rsidRDefault="00BB242B" w:rsidP="00EF27E3">
      <w:pPr>
        <w:pStyle w:val="kj03123"/>
        <w:tabs>
          <w:tab w:val="clear" w:pos="360"/>
          <w:tab w:val="clear" w:pos="1267"/>
          <w:tab w:val="num" w:pos="1260"/>
        </w:tabs>
      </w:pPr>
      <w:r w:rsidRPr="00420EEA">
        <w:rPr>
          <w:rFonts w:cs="Arial"/>
          <w:bCs/>
          <w:szCs w:val="22"/>
        </w:rPr>
        <w:t>BOM – Bill of</w:t>
      </w:r>
      <w:r>
        <w:rPr>
          <w:rFonts w:cs="Arial"/>
          <w:bCs/>
          <w:szCs w:val="22"/>
        </w:rPr>
        <w:t xml:space="preserve"> Material</w:t>
      </w:r>
    </w:p>
    <w:p w14:paraId="13218F7E" w14:textId="6B900CD0" w:rsidR="00BB242B" w:rsidRPr="00BB242B" w:rsidRDefault="00BB242B" w:rsidP="00EF27E3">
      <w:pPr>
        <w:pStyle w:val="kj03123"/>
        <w:tabs>
          <w:tab w:val="clear" w:pos="360"/>
          <w:tab w:val="clear" w:pos="1267"/>
          <w:tab w:val="num" w:pos="1260"/>
        </w:tabs>
      </w:pPr>
      <w:r w:rsidRPr="00420EEA">
        <w:rPr>
          <w:rFonts w:cs="Arial"/>
          <w:bCs/>
          <w:szCs w:val="22"/>
        </w:rPr>
        <w:t>C Suppliers – Suppliers who make up the bottom 5% of overall GT spend (80%, 15%, 5% in spend analysis</w:t>
      </w:r>
      <w:r>
        <w:rPr>
          <w:rFonts w:cs="Arial"/>
          <w:bCs/>
          <w:szCs w:val="22"/>
        </w:rPr>
        <w:t>)</w:t>
      </w:r>
    </w:p>
    <w:p w14:paraId="49F79717" w14:textId="50AC8202" w:rsidR="00BB242B" w:rsidRPr="00BB242B" w:rsidRDefault="00BB242B" w:rsidP="00EF27E3">
      <w:pPr>
        <w:pStyle w:val="kj03123"/>
        <w:tabs>
          <w:tab w:val="clear" w:pos="360"/>
          <w:tab w:val="clear" w:pos="1267"/>
          <w:tab w:val="num" w:pos="1260"/>
        </w:tabs>
      </w:pPr>
      <w:r w:rsidRPr="00420EEA">
        <w:rPr>
          <w:rFonts w:cs="Arial"/>
          <w:bCs/>
          <w:szCs w:val="22"/>
        </w:rPr>
        <w:t>CAR – Corrective Action</w:t>
      </w:r>
      <w:r>
        <w:rPr>
          <w:rFonts w:cs="Arial"/>
          <w:bCs/>
          <w:szCs w:val="22"/>
        </w:rPr>
        <w:t xml:space="preserve"> Request</w:t>
      </w:r>
    </w:p>
    <w:p w14:paraId="1612F42B" w14:textId="6A98949F" w:rsidR="00BB242B" w:rsidRPr="00BB242B" w:rsidRDefault="00543E95" w:rsidP="00EF27E3">
      <w:pPr>
        <w:pStyle w:val="kj03123"/>
        <w:tabs>
          <w:tab w:val="clear" w:pos="360"/>
          <w:tab w:val="clear" w:pos="1267"/>
          <w:tab w:val="num" w:pos="1260"/>
        </w:tabs>
      </w:pPr>
      <w:r w:rsidRPr="00865577">
        <mc:AlternateContent>
          <mc:Choice Requires="wps">
            <w:drawing>
              <wp:anchor distT="45720" distB="45720" distL="114300" distR="114300" simplePos="0" relativeHeight="251709440" behindDoc="0" locked="0" layoutInCell="1" allowOverlap="1" wp14:anchorId="31705E39" wp14:editId="24710418">
                <wp:simplePos x="0" y="0"/>
                <wp:positionH relativeFrom="column">
                  <wp:posOffset>-385074</wp:posOffset>
                </wp:positionH>
                <wp:positionV relativeFrom="paragraph">
                  <wp:posOffset>172720</wp:posOffset>
                </wp:positionV>
                <wp:extent cx="365760" cy="1404620"/>
                <wp:effectExtent l="0" t="0" r="0" b="8890"/>
                <wp:wrapNone/>
                <wp:docPr id="1613847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404620"/>
                        </a:xfrm>
                        <a:prstGeom prst="rect">
                          <a:avLst/>
                        </a:prstGeom>
                        <a:solidFill>
                          <a:srgbClr val="FFFFFF"/>
                        </a:solidFill>
                        <a:ln w="9525">
                          <a:noFill/>
                          <a:miter lim="800000"/>
                          <a:headEnd/>
                          <a:tailEnd/>
                        </a:ln>
                      </wps:spPr>
                      <wps:txbx>
                        <w:txbxContent>
                          <w:p w14:paraId="39B4607F" w14:textId="77777777" w:rsidR="00543E95" w:rsidRPr="006659B4" w:rsidRDefault="00543E95" w:rsidP="00543E95">
                            <w:pPr>
                              <w:tabs>
                                <w:tab w:val="left" w:pos="187"/>
                                <w:tab w:val="left" w:pos="547"/>
                                <w:tab w:val="left" w:pos="1267"/>
                                <w:tab w:val="left" w:pos="2160"/>
                                <w:tab w:val="left" w:pos="3240"/>
                                <w:tab w:val="left" w:pos="4320"/>
                                <w:tab w:val="left" w:pos="5760"/>
                                <w:tab w:val="left" w:pos="7387"/>
                              </w:tabs>
                              <w:jc w:val="right"/>
                              <w:rPr>
                                <w:rFonts w:cs="Arial"/>
                              </w:rPr>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705E39" id="_x0000_s1044" type="#_x0000_t202" style="position:absolute;left:0;text-align:left;margin-left:-30.3pt;margin-top:13.6pt;width:28.8pt;height:110.6pt;z-index:251709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" stroked="f">
                <v:textbox style="mso-fit-shape-to-text:t">
                  <w:txbxContent>
                    <w:p w14:paraId="39B4607F" w14:textId="77777777" w:rsidR="00543E95" w:rsidRPr="006659B4" w:rsidRDefault="00543E95" w:rsidP="00543E95">
                      <w:pPr>
                        <w:tabs>
                          <w:tab w:val="left" w:pos="187"/>
                          <w:tab w:val="left" w:pos="547"/>
                          <w:tab w:val="left" w:pos="1267"/>
                          <w:tab w:val="left" w:pos="2160"/>
                          <w:tab w:val="left" w:pos="3240"/>
                          <w:tab w:val="left" w:pos="4320"/>
                          <w:tab w:val="left" w:pos="5760"/>
                          <w:tab w:val="left" w:pos="7387"/>
                        </w:tabs>
                        <w:jc w:val="right"/>
                        <w:rPr>
                          <w:rFonts w:cs="Arial"/>
                        </w:rPr>
                      </w:pPr>
                      <w:r>
                        <w:t>|</w:t>
                      </w:r>
                    </w:p>
                  </w:txbxContent>
                </v:textbox>
              </v:shape>
            </w:pict>
          </mc:Fallback>
        </mc:AlternateContent>
      </w:r>
      <w:r w:rsidR="00BB242B" w:rsidRPr="00420EEA">
        <w:rPr>
          <w:rFonts w:cs="Arial"/>
          <w:bCs/>
          <w:szCs w:val="22"/>
        </w:rPr>
        <w:t>CDOV – Concept, Design, Optimize,</w:t>
      </w:r>
      <w:r w:rsidR="00BB242B">
        <w:rPr>
          <w:rFonts w:cs="Arial"/>
          <w:bCs/>
          <w:szCs w:val="22"/>
        </w:rPr>
        <w:t xml:space="preserve"> Verify</w:t>
      </w:r>
    </w:p>
    <w:p w14:paraId="30F96C61" w14:textId="61649442" w:rsidR="00BB242B" w:rsidRPr="00BB242B" w:rsidRDefault="00BB242B" w:rsidP="00EF27E3">
      <w:pPr>
        <w:pStyle w:val="kj03123"/>
        <w:tabs>
          <w:tab w:val="clear" w:pos="360"/>
          <w:tab w:val="clear" w:pos="1267"/>
          <w:tab w:val="num" w:pos="1260"/>
        </w:tabs>
      </w:pPr>
      <w:r w:rsidRPr="00543E95">
        <w:rPr>
          <w:rFonts w:cs="Arial"/>
          <w:bCs/>
          <w:szCs w:val="22"/>
        </w:rPr>
        <w:t>CE – Central Engingeering</w:t>
      </w:r>
      <w:r w:rsidR="00543E95">
        <w:rPr>
          <w:rFonts w:cs="Arial"/>
          <w:bCs/>
          <w:szCs w:val="22"/>
        </w:rPr>
        <w:t xml:space="preserve"> (now M-TEC)</w:t>
      </w:r>
    </w:p>
    <w:p w14:paraId="74A07FA9" w14:textId="5F9C9B42" w:rsidR="00BB242B" w:rsidRPr="00BB242B" w:rsidRDefault="00BB242B" w:rsidP="00EF27E3">
      <w:pPr>
        <w:pStyle w:val="kj03123"/>
        <w:tabs>
          <w:tab w:val="clear" w:pos="360"/>
          <w:tab w:val="clear" w:pos="1267"/>
          <w:tab w:val="num" w:pos="1260"/>
        </w:tabs>
      </w:pPr>
      <w:r w:rsidRPr="00420EEA">
        <w:rPr>
          <w:rFonts w:cs="Arial"/>
          <w:bCs/>
          <w:szCs w:val="22"/>
        </w:rPr>
        <w:t>CI – Continuous</w:t>
      </w:r>
      <w:r>
        <w:rPr>
          <w:rFonts w:cs="Arial"/>
          <w:bCs/>
          <w:szCs w:val="22"/>
        </w:rPr>
        <w:t xml:space="preserve"> Improvement</w:t>
      </w:r>
    </w:p>
    <w:p w14:paraId="2C9BA927" w14:textId="0B5BB0A5" w:rsidR="00BB242B" w:rsidRPr="00BB242B" w:rsidRDefault="00BB242B" w:rsidP="00EF27E3">
      <w:pPr>
        <w:pStyle w:val="kj03123"/>
        <w:tabs>
          <w:tab w:val="clear" w:pos="360"/>
          <w:tab w:val="clear" w:pos="1267"/>
          <w:tab w:val="num" w:pos="1260"/>
        </w:tabs>
      </w:pPr>
      <w:r w:rsidRPr="00420EEA">
        <w:rPr>
          <w:rFonts w:cs="Arial"/>
          <w:bCs/>
          <w:szCs w:val="22"/>
        </w:rPr>
        <w:t>CMM – Coordinate Measuring</w:t>
      </w:r>
      <w:r>
        <w:rPr>
          <w:rFonts w:cs="Arial"/>
          <w:bCs/>
          <w:szCs w:val="22"/>
        </w:rPr>
        <w:t xml:space="preserve"> Machines</w:t>
      </w:r>
    </w:p>
    <w:p w14:paraId="700D57D8" w14:textId="448387DB" w:rsidR="00BB242B" w:rsidRPr="00BB242B" w:rsidRDefault="00BB242B" w:rsidP="00EF27E3">
      <w:pPr>
        <w:pStyle w:val="kj03123"/>
        <w:tabs>
          <w:tab w:val="clear" w:pos="360"/>
          <w:tab w:val="clear" w:pos="1267"/>
          <w:tab w:val="num" w:pos="1260"/>
        </w:tabs>
      </w:pPr>
      <w:r w:rsidRPr="00420EEA">
        <w:rPr>
          <w:rFonts w:cs="Arial"/>
          <w:bCs/>
          <w:szCs w:val="22"/>
        </w:rPr>
        <w:t>C of C – Certificate of</w:t>
      </w:r>
      <w:r>
        <w:rPr>
          <w:rFonts w:cs="Arial"/>
          <w:bCs/>
          <w:szCs w:val="22"/>
        </w:rPr>
        <w:t xml:space="preserve"> Compliance</w:t>
      </w:r>
    </w:p>
    <w:p w14:paraId="5E42188A" w14:textId="02C05EDD" w:rsidR="00BB242B" w:rsidRPr="007D6D80" w:rsidRDefault="007D6D80" w:rsidP="00EF27E3">
      <w:pPr>
        <w:pStyle w:val="kj03123"/>
        <w:tabs>
          <w:tab w:val="clear" w:pos="360"/>
          <w:tab w:val="clear" w:pos="1267"/>
          <w:tab w:val="num" w:pos="1260"/>
        </w:tabs>
      </w:pPr>
      <w:r w:rsidRPr="00420EEA">
        <w:rPr>
          <w:rFonts w:cs="Arial"/>
          <w:bCs/>
          <w:szCs w:val="22"/>
        </w:rPr>
        <w:t>COO – Country of Origin</w:t>
      </w:r>
    </w:p>
    <w:p w14:paraId="7C337666" w14:textId="0BD605DB" w:rsidR="007D6D80" w:rsidRPr="007D6D80" w:rsidRDefault="007D6D80" w:rsidP="00EF27E3">
      <w:pPr>
        <w:pStyle w:val="kj03123"/>
        <w:tabs>
          <w:tab w:val="clear" w:pos="360"/>
          <w:tab w:val="clear" w:pos="1267"/>
          <w:tab w:val="num" w:pos="1260"/>
        </w:tabs>
      </w:pPr>
      <w:r w:rsidRPr="00420EEA">
        <w:rPr>
          <w:rFonts w:cs="Arial"/>
          <w:bCs/>
          <w:szCs w:val="22"/>
        </w:rPr>
        <w:t>COPQ – Cost of Poor</w:t>
      </w:r>
      <w:r>
        <w:rPr>
          <w:rFonts w:cs="Arial"/>
          <w:bCs/>
          <w:szCs w:val="22"/>
        </w:rPr>
        <w:t xml:space="preserve"> Quality</w:t>
      </w:r>
    </w:p>
    <w:p w14:paraId="45F912F5" w14:textId="19BAB297" w:rsidR="007D6D80" w:rsidRPr="007D6D80" w:rsidRDefault="007D6D80" w:rsidP="00EF27E3">
      <w:pPr>
        <w:pStyle w:val="kj03123"/>
        <w:tabs>
          <w:tab w:val="clear" w:pos="360"/>
          <w:tab w:val="clear" w:pos="1267"/>
          <w:tab w:val="num" w:pos="1260"/>
        </w:tabs>
      </w:pPr>
      <w:r w:rsidRPr="00420EEA">
        <w:rPr>
          <w:rFonts w:cs="Arial"/>
          <w:bCs/>
          <w:szCs w:val="22"/>
        </w:rPr>
        <w:t>COTS – Commercial Off The</w:t>
      </w:r>
      <w:r>
        <w:rPr>
          <w:rFonts w:cs="Arial"/>
          <w:bCs/>
          <w:szCs w:val="22"/>
        </w:rPr>
        <w:t xml:space="preserve"> Shelf</w:t>
      </w:r>
    </w:p>
    <w:p w14:paraId="0FFBCB4D" w14:textId="7FF48705" w:rsidR="007D6D80" w:rsidRPr="00261F74" w:rsidRDefault="00261F74" w:rsidP="00EF27E3">
      <w:pPr>
        <w:pStyle w:val="kj03123"/>
        <w:tabs>
          <w:tab w:val="clear" w:pos="360"/>
          <w:tab w:val="clear" w:pos="1267"/>
          <w:tab w:val="num" w:pos="1260"/>
        </w:tabs>
      </w:pPr>
      <w:r w:rsidRPr="00420EEA">
        <w:rPr>
          <w:rFonts w:cs="Arial"/>
          <w:bCs/>
          <w:szCs w:val="22"/>
        </w:rPr>
        <w:t>Cp &amp; Cpk – Process Capability Indicators used in Statistical Process</w:t>
      </w:r>
      <w:r>
        <w:rPr>
          <w:rFonts w:cs="Arial"/>
          <w:bCs/>
          <w:szCs w:val="22"/>
        </w:rPr>
        <w:t xml:space="preserve"> Control</w:t>
      </w:r>
    </w:p>
    <w:p w14:paraId="310472D6" w14:textId="22379AE7" w:rsidR="00261F74" w:rsidRPr="00261F74" w:rsidRDefault="00261F74" w:rsidP="00EF27E3">
      <w:pPr>
        <w:pStyle w:val="kj03123"/>
        <w:tabs>
          <w:tab w:val="clear" w:pos="360"/>
          <w:tab w:val="clear" w:pos="1267"/>
          <w:tab w:val="num" w:pos="1260"/>
        </w:tabs>
      </w:pPr>
      <w:r w:rsidRPr="00420EEA">
        <w:rPr>
          <w:rFonts w:cs="Arial"/>
          <w:bCs/>
          <w:szCs w:val="22"/>
        </w:rPr>
        <w:t>DDTC – Directorate of Defense Trade</w:t>
      </w:r>
      <w:r>
        <w:rPr>
          <w:rFonts w:cs="Arial"/>
          <w:bCs/>
          <w:szCs w:val="22"/>
        </w:rPr>
        <w:t xml:space="preserve"> Controls</w:t>
      </w:r>
    </w:p>
    <w:p w14:paraId="54752B4A" w14:textId="13C5473E" w:rsidR="00261F74" w:rsidRPr="00261F74" w:rsidRDefault="00261F74" w:rsidP="00EF27E3">
      <w:pPr>
        <w:pStyle w:val="kj03123"/>
        <w:tabs>
          <w:tab w:val="clear" w:pos="360"/>
          <w:tab w:val="clear" w:pos="1267"/>
          <w:tab w:val="num" w:pos="1260"/>
        </w:tabs>
      </w:pPr>
      <w:r w:rsidRPr="00420EEA">
        <w:rPr>
          <w:rFonts w:cs="Arial"/>
          <w:bCs/>
          <w:szCs w:val="22"/>
        </w:rPr>
        <w:t>DFM – Design fo</w:t>
      </w:r>
      <w:r>
        <w:rPr>
          <w:rFonts w:cs="Arial"/>
          <w:bCs/>
          <w:szCs w:val="22"/>
        </w:rPr>
        <w:t xml:space="preserve"> Manufacturability</w:t>
      </w:r>
    </w:p>
    <w:p w14:paraId="5A475416" w14:textId="44F95F20" w:rsidR="00261F74" w:rsidRPr="00261F74" w:rsidRDefault="00261F74" w:rsidP="00EF27E3">
      <w:pPr>
        <w:pStyle w:val="kj03123"/>
        <w:tabs>
          <w:tab w:val="clear" w:pos="360"/>
          <w:tab w:val="clear" w:pos="1267"/>
          <w:tab w:val="num" w:pos="1260"/>
        </w:tabs>
      </w:pPr>
      <w:r w:rsidRPr="00420EEA">
        <w:rPr>
          <w:rFonts w:cs="Arial"/>
          <w:bCs/>
          <w:szCs w:val="22"/>
        </w:rPr>
        <w:t>DFMEA – Design Failure Modes &amp; Effects Analysis DFSS – Design for Six</w:t>
      </w:r>
      <w:r>
        <w:rPr>
          <w:rFonts w:cs="Arial"/>
          <w:bCs/>
          <w:szCs w:val="22"/>
        </w:rPr>
        <w:t xml:space="preserve"> Sigma</w:t>
      </w:r>
    </w:p>
    <w:p w14:paraId="34869CCC" w14:textId="312EE9A1" w:rsidR="00261F74" w:rsidRPr="00261F74" w:rsidRDefault="00261F74" w:rsidP="00EF27E3">
      <w:pPr>
        <w:pStyle w:val="kj03123"/>
        <w:tabs>
          <w:tab w:val="clear" w:pos="360"/>
          <w:tab w:val="clear" w:pos="1267"/>
          <w:tab w:val="num" w:pos="1260"/>
        </w:tabs>
      </w:pPr>
      <w:r w:rsidRPr="00420EEA">
        <w:rPr>
          <w:rFonts w:cs="Arial"/>
          <w:bCs/>
          <w:szCs w:val="22"/>
        </w:rPr>
        <w:t>DHM – Design Hand off</w:t>
      </w:r>
      <w:r>
        <w:rPr>
          <w:rFonts w:cs="Arial"/>
          <w:bCs/>
          <w:szCs w:val="22"/>
        </w:rPr>
        <w:t xml:space="preserve"> Meeting</w:t>
      </w:r>
    </w:p>
    <w:p w14:paraId="08003369" w14:textId="62497BB4" w:rsidR="00261F74" w:rsidRDefault="00261F74" w:rsidP="00EF27E3">
      <w:pPr>
        <w:pStyle w:val="kj03123"/>
        <w:tabs>
          <w:tab w:val="clear" w:pos="360"/>
          <w:tab w:val="clear" w:pos="1267"/>
          <w:tab w:val="num" w:pos="1260"/>
        </w:tabs>
      </w:pPr>
      <w:r w:rsidRPr="00420EEA">
        <w:rPr>
          <w:rFonts w:cs="Arial"/>
          <w:bCs/>
          <w:szCs w:val="22"/>
        </w:rPr>
        <w:t>DMAIC – Define, Measure, Analyze, Improve, Control which is Six Sigma problem solving methodolo</w:t>
      </w:r>
      <w:r>
        <w:rPr>
          <w:rFonts w:cs="Arial"/>
          <w:bCs/>
          <w:szCs w:val="22"/>
        </w:rPr>
        <w:t>gy</w:t>
      </w:r>
    </w:p>
    <w:p w14:paraId="45B803A7" w14:textId="77777777" w:rsidR="00261F74" w:rsidRDefault="001D5FBA" w:rsidP="00261F74">
      <w:hyperlink w:anchor="TableOfContents" w:history="1">
        <w:r w:rsidR="00261F74" w:rsidRPr="00066290">
          <w:rPr>
            <w:rStyle w:val="Hyperlink"/>
            <w:rFonts w:cs="Arial"/>
            <w:sz w:val="16"/>
            <w:szCs w:val="14"/>
          </w:rPr>
          <w:t>Return to Table of Contents</w:t>
        </w:r>
      </w:hyperlink>
      <w:r w:rsidR="00261F74">
        <w:br w:type="page"/>
      </w:r>
    </w:p>
    <w:p w14:paraId="29E84B6E" w14:textId="589D570C" w:rsidR="00E26FE2" w:rsidRPr="004D7FD3" w:rsidRDefault="004D7FD3" w:rsidP="00261F74">
      <w:pPr>
        <w:pStyle w:val="kj03123"/>
        <w:tabs>
          <w:tab w:val="clear" w:pos="360"/>
          <w:tab w:val="clear" w:pos="1267"/>
          <w:tab w:val="num" w:pos="1260"/>
        </w:tabs>
      </w:pPr>
      <w:r w:rsidRPr="00420EEA">
        <w:rPr>
          <w:rFonts w:cs="Arial"/>
          <w:bCs/>
          <w:szCs w:val="22"/>
        </w:rPr>
        <w:t>DMADV – Define, Measure, Analyze, Design, Verify which is a Six Sigma problem solving</w:t>
      </w:r>
      <w:r>
        <w:rPr>
          <w:rFonts w:cs="Arial"/>
          <w:bCs/>
          <w:szCs w:val="22"/>
        </w:rPr>
        <w:t xml:space="preserve"> methodolgy</w:t>
      </w:r>
    </w:p>
    <w:p w14:paraId="45C2E5AD" w14:textId="47BD99DB" w:rsidR="004D7FD3" w:rsidRPr="004D7FD3" w:rsidRDefault="004D7FD3" w:rsidP="00261F74">
      <w:pPr>
        <w:pStyle w:val="kj03123"/>
        <w:tabs>
          <w:tab w:val="clear" w:pos="360"/>
          <w:tab w:val="clear" w:pos="1267"/>
          <w:tab w:val="num" w:pos="1260"/>
        </w:tabs>
      </w:pPr>
      <w:r w:rsidRPr="00420EEA">
        <w:rPr>
          <w:rFonts w:cs="Arial"/>
          <w:bCs/>
          <w:szCs w:val="22"/>
        </w:rPr>
        <w:t>DOE – Design of</w:t>
      </w:r>
      <w:r>
        <w:rPr>
          <w:rFonts w:cs="Arial"/>
          <w:bCs/>
          <w:szCs w:val="22"/>
        </w:rPr>
        <w:t xml:space="preserve"> Experiments</w:t>
      </w:r>
    </w:p>
    <w:p w14:paraId="3515AFAE" w14:textId="6310305E" w:rsidR="004D7FD3" w:rsidRPr="004D7FD3" w:rsidRDefault="004D7FD3" w:rsidP="00261F74">
      <w:pPr>
        <w:pStyle w:val="kj03123"/>
        <w:tabs>
          <w:tab w:val="clear" w:pos="360"/>
          <w:tab w:val="clear" w:pos="1267"/>
          <w:tab w:val="num" w:pos="1260"/>
        </w:tabs>
      </w:pPr>
      <w:r w:rsidRPr="00420EEA">
        <w:rPr>
          <w:rFonts w:cs="Arial"/>
          <w:bCs/>
          <w:szCs w:val="22"/>
        </w:rPr>
        <w:t>DPD – Digital Product</w:t>
      </w:r>
      <w:r>
        <w:rPr>
          <w:rFonts w:cs="Arial"/>
          <w:bCs/>
          <w:szCs w:val="22"/>
        </w:rPr>
        <w:t xml:space="preserve"> Definition</w:t>
      </w:r>
    </w:p>
    <w:p w14:paraId="015B7EE7" w14:textId="25368993" w:rsidR="004D7FD3" w:rsidRPr="004D7FD3" w:rsidRDefault="004D7FD3" w:rsidP="00261F74">
      <w:pPr>
        <w:pStyle w:val="kj03123"/>
        <w:tabs>
          <w:tab w:val="clear" w:pos="360"/>
          <w:tab w:val="clear" w:pos="1267"/>
          <w:tab w:val="num" w:pos="1260"/>
        </w:tabs>
      </w:pPr>
      <w:r w:rsidRPr="00420EEA">
        <w:rPr>
          <w:rFonts w:cs="Arial"/>
          <w:bCs/>
          <w:szCs w:val="22"/>
        </w:rPr>
        <w:t>DP</w:t>
      </w:r>
      <w:r>
        <w:rPr>
          <w:rFonts w:cs="Arial"/>
          <w:bCs/>
          <w:szCs w:val="22"/>
        </w:rPr>
        <w:t>P</w:t>
      </w:r>
      <w:r w:rsidRPr="00420EEA">
        <w:rPr>
          <w:rFonts w:cs="Arial"/>
          <w:bCs/>
          <w:szCs w:val="22"/>
        </w:rPr>
        <w:t>M – Defect</w:t>
      </w:r>
      <w:r>
        <w:rPr>
          <w:rFonts w:cs="Arial"/>
          <w:bCs/>
          <w:szCs w:val="22"/>
        </w:rPr>
        <w:t>ive Parts P</w:t>
      </w:r>
      <w:r w:rsidRPr="00420EEA">
        <w:rPr>
          <w:rFonts w:cs="Arial"/>
          <w:bCs/>
          <w:szCs w:val="22"/>
        </w:rPr>
        <w:t xml:space="preserve">er Million, sometimes also referred to as PPM (Parts </w:t>
      </w:r>
      <w:r>
        <w:rPr>
          <w:rFonts w:cs="Arial"/>
          <w:bCs/>
          <w:szCs w:val="22"/>
        </w:rPr>
        <w:t>P</w:t>
      </w:r>
      <w:r w:rsidRPr="00420EEA">
        <w:rPr>
          <w:rFonts w:cs="Arial"/>
          <w:bCs/>
          <w:szCs w:val="22"/>
        </w:rPr>
        <w:t>er Million defective</w:t>
      </w:r>
      <w:r>
        <w:rPr>
          <w:rFonts w:cs="Arial"/>
          <w:bCs/>
          <w:szCs w:val="22"/>
        </w:rPr>
        <w:t>)</w:t>
      </w:r>
    </w:p>
    <w:p w14:paraId="54A01B65" w14:textId="7A7705DF" w:rsidR="004D7FD3" w:rsidRPr="004D7FD3" w:rsidRDefault="004D7FD3" w:rsidP="00261F74">
      <w:pPr>
        <w:pStyle w:val="kj03123"/>
        <w:tabs>
          <w:tab w:val="clear" w:pos="360"/>
          <w:tab w:val="clear" w:pos="1267"/>
          <w:tab w:val="num" w:pos="1260"/>
        </w:tabs>
      </w:pPr>
      <w:r w:rsidRPr="00420EEA">
        <w:rPr>
          <w:rFonts w:cs="Arial"/>
          <w:bCs/>
          <w:szCs w:val="22"/>
        </w:rPr>
        <w:t>DWR – Deviation Waiver</w:t>
      </w:r>
      <w:r>
        <w:rPr>
          <w:rFonts w:cs="Arial"/>
          <w:bCs/>
          <w:szCs w:val="22"/>
        </w:rPr>
        <w:t xml:space="preserve"> Request</w:t>
      </w:r>
    </w:p>
    <w:p w14:paraId="209BB448" w14:textId="51450EC2" w:rsidR="004D7FD3" w:rsidRPr="004D7FD3" w:rsidRDefault="004D7FD3" w:rsidP="00261F74">
      <w:pPr>
        <w:pStyle w:val="kj03123"/>
        <w:tabs>
          <w:tab w:val="clear" w:pos="360"/>
          <w:tab w:val="clear" w:pos="1267"/>
          <w:tab w:val="num" w:pos="1260"/>
        </w:tabs>
      </w:pPr>
      <w:r w:rsidRPr="00420EEA">
        <w:rPr>
          <w:rFonts w:cs="Arial"/>
          <w:bCs/>
          <w:szCs w:val="22"/>
        </w:rPr>
        <w:t>EAR – Export Administration</w:t>
      </w:r>
      <w:r>
        <w:rPr>
          <w:rFonts w:cs="Arial"/>
          <w:bCs/>
          <w:szCs w:val="22"/>
        </w:rPr>
        <w:t xml:space="preserve"> Regulations</w:t>
      </w:r>
    </w:p>
    <w:p w14:paraId="6EDB4FBE" w14:textId="04461941" w:rsidR="004D7FD3" w:rsidRPr="008165A0" w:rsidRDefault="008165A0" w:rsidP="00261F74">
      <w:pPr>
        <w:pStyle w:val="kj03123"/>
        <w:tabs>
          <w:tab w:val="clear" w:pos="360"/>
          <w:tab w:val="clear" w:pos="1267"/>
          <w:tab w:val="num" w:pos="1260"/>
        </w:tabs>
      </w:pPr>
      <w:r w:rsidRPr="00420EEA">
        <w:rPr>
          <w:rFonts w:cs="Arial"/>
          <w:bCs/>
          <w:szCs w:val="22"/>
        </w:rPr>
        <w:t>ECHA – European Chemicals A</w:t>
      </w:r>
      <w:r>
        <w:rPr>
          <w:rFonts w:cs="Arial"/>
          <w:bCs/>
          <w:szCs w:val="22"/>
        </w:rPr>
        <w:t>gency</w:t>
      </w:r>
    </w:p>
    <w:p w14:paraId="0AE341DD" w14:textId="75602231" w:rsidR="008165A0" w:rsidRPr="008165A0" w:rsidRDefault="008165A0" w:rsidP="00261F74">
      <w:pPr>
        <w:pStyle w:val="kj03123"/>
        <w:tabs>
          <w:tab w:val="clear" w:pos="360"/>
          <w:tab w:val="clear" w:pos="1267"/>
          <w:tab w:val="num" w:pos="1260"/>
        </w:tabs>
      </w:pPr>
      <w:r w:rsidRPr="00420EEA">
        <w:rPr>
          <w:rFonts w:cs="Arial"/>
          <w:bCs/>
          <w:szCs w:val="22"/>
        </w:rPr>
        <w:t>Engineering Change</w:t>
      </w:r>
      <w:r>
        <w:rPr>
          <w:rFonts w:cs="Arial"/>
          <w:bCs/>
          <w:szCs w:val="22"/>
        </w:rPr>
        <w:t xml:space="preserve"> Notification</w:t>
      </w:r>
    </w:p>
    <w:p w14:paraId="72B4691C" w14:textId="6D601B8C" w:rsidR="008165A0" w:rsidRPr="008165A0" w:rsidRDefault="008165A0" w:rsidP="00261F74">
      <w:pPr>
        <w:pStyle w:val="kj03123"/>
        <w:tabs>
          <w:tab w:val="clear" w:pos="360"/>
          <w:tab w:val="clear" w:pos="1267"/>
          <w:tab w:val="num" w:pos="1260"/>
        </w:tabs>
      </w:pPr>
      <w:r w:rsidRPr="00420EEA">
        <w:rPr>
          <w:rFonts w:cs="Arial"/>
          <w:bCs/>
          <w:szCs w:val="22"/>
        </w:rPr>
        <w:t>EDI – Electronic Data</w:t>
      </w:r>
      <w:r>
        <w:rPr>
          <w:rFonts w:cs="Arial"/>
          <w:bCs/>
          <w:szCs w:val="22"/>
        </w:rPr>
        <w:t xml:space="preserve"> Interchange</w:t>
      </w:r>
    </w:p>
    <w:p w14:paraId="79728BFA" w14:textId="546D04E0" w:rsidR="008165A0" w:rsidRPr="008165A0" w:rsidRDefault="008165A0" w:rsidP="00261F74">
      <w:pPr>
        <w:pStyle w:val="kj03123"/>
        <w:tabs>
          <w:tab w:val="clear" w:pos="360"/>
          <w:tab w:val="clear" w:pos="1267"/>
          <w:tab w:val="num" w:pos="1260"/>
        </w:tabs>
      </w:pPr>
      <w:r w:rsidRPr="00420EEA">
        <w:rPr>
          <w:rFonts w:cs="Arial"/>
          <w:bCs/>
          <w:szCs w:val="22"/>
        </w:rPr>
        <w:t>EICC – Electronic Industry Citizenship Coalition (released Code of Conduct, now</w:t>
      </w:r>
      <w:r>
        <w:rPr>
          <w:rFonts w:cs="Arial"/>
          <w:bCs/>
          <w:szCs w:val="22"/>
        </w:rPr>
        <w:t xml:space="preserve"> RBA)</w:t>
      </w:r>
    </w:p>
    <w:p w14:paraId="20DBAD18" w14:textId="3A7B5F6E" w:rsidR="008165A0" w:rsidRPr="008165A0" w:rsidRDefault="008165A0" w:rsidP="00261F74">
      <w:pPr>
        <w:pStyle w:val="kj03123"/>
        <w:tabs>
          <w:tab w:val="clear" w:pos="360"/>
          <w:tab w:val="clear" w:pos="1267"/>
          <w:tab w:val="num" w:pos="1260"/>
        </w:tabs>
      </w:pPr>
      <w:r w:rsidRPr="00420EEA">
        <w:rPr>
          <w:rFonts w:cs="Arial"/>
          <w:bCs/>
          <w:szCs w:val="22"/>
        </w:rPr>
        <w:t>EHS – Environmental, Health, &amp;</w:t>
      </w:r>
      <w:r>
        <w:rPr>
          <w:rFonts w:cs="Arial"/>
          <w:bCs/>
          <w:szCs w:val="22"/>
        </w:rPr>
        <w:t xml:space="preserve"> Safety</w:t>
      </w:r>
    </w:p>
    <w:p w14:paraId="2D3BE722" w14:textId="4FA8120A" w:rsidR="008165A0" w:rsidRPr="008165A0" w:rsidRDefault="008165A0" w:rsidP="00261F74">
      <w:pPr>
        <w:pStyle w:val="kj03123"/>
        <w:tabs>
          <w:tab w:val="clear" w:pos="360"/>
          <w:tab w:val="clear" w:pos="1267"/>
          <w:tab w:val="num" w:pos="1260"/>
        </w:tabs>
      </w:pPr>
      <w:r w:rsidRPr="00420EEA">
        <w:rPr>
          <w:rFonts w:cs="Arial"/>
          <w:bCs/>
          <w:szCs w:val="22"/>
        </w:rPr>
        <w:t>EMA – Electromechanical</w:t>
      </w:r>
      <w:r>
        <w:rPr>
          <w:rFonts w:cs="Arial"/>
          <w:bCs/>
          <w:szCs w:val="22"/>
        </w:rPr>
        <w:t xml:space="preserve"> Assembly</w:t>
      </w:r>
    </w:p>
    <w:p w14:paraId="209755F0" w14:textId="7044536E" w:rsidR="008165A0" w:rsidRPr="008165A0" w:rsidRDefault="008165A0" w:rsidP="00261F74">
      <w:pPr>
        <w:pStyle w:val="kj03123"/>
        <w:tabs>
          <w:tab w:val="clear" w:pos="360"/>
          <w:tab w:val="clear" w:pos="1267"/>
          <w:tab w:val="num" w:pos="1260"/>
        </w:tabs>
      </w:pPr>
      <w:r w:rsidRPr="00420EEA">
        <w:rPr>
          <w:rFonts w:cs="Arial"/>
          <w:bCs/>
          <w:szCs w:val="22"/>
        </w:rPr>
        <w:t>EN – European Standard (specification</w:t>
      </w:r>
      <w:r>
        <w:rPr>
          <w:rFonts w:cs="Arial"/>
          <w:bCs/>
          <w:szCs w:val="22"/>
        </w:rPr>
        <w:t xml:space="preserve"> source)</w:t>
      </w:r>
    </w:p>
    <w:p w14:paraId="565D13C3" w14:textId="1416114C" w:rsidR="008165A0" w:rsidRPr="008165A0" w:rsidRDefault="008165A0" w:rsidP="00261F74">
      <w:pPr>
        <w:pStyle w:val="kj03123"/>
        <w:tabs>
          <w:tab w:val="clear" w:pos="360"/>
          <w:tab w:val="clear" w:pos="1267"/>
          <w:tab w:val="num" w:pos="1260"/>
        </w:tabs>
      </w:pPr>
      <w:r w:rsidRPr="00420EEA">
        <w:rPr>
          <w:rFonts w:cs="Arial"/>
          <w:bCs/>
          <w:szCs w:val="22"/>
        </w:rPr>
        <w:t>EPA – United States Environmental Protection</w:t>
      </w:r>
      <w:r>
        <w:rPr>
          <w:rFonts w:cs="Arial"/>
          <w:bCs/>
          <w:szCs w:val="22"/>
        </w:rPr>
        <w:t xml:space="preserve"> Agency</w:t>
      </w:r>
    </w:p>
    <w:p w14:paraId="458AEC9F" w14:textId="0E831B7C" w:rsidR="008165A0" w:rsidRPr="00164CC0" w:rsidRDefault="00164CC0" w:rsidP="00261F74">
      <w:pPr>
        <w:pStyle w:val="kj03123"/>
        <w:tabs>
          <w:tab w:val="clear" w:pos="360"/>
          <w:tab w:val="clear" w:pos="1267"/>
          <w:tab w:val="num" w:pos="1260"/>
        </w:tabs>
      </w:pPr>
      <w:r w:rsidRPr="00420EEA">
        <w:rPr>
          <w:rFonts w:cs="Arial"/>
          <w:bCs/>
          <w:szCs w:val="22"/>
        </w:rPr>
        <w:t>FAIR – First Article Inspection</w:t>
      </w:r>
      <w:r>
        <w:rPr>
          <w:rFonts w:cs="Arial"/>
          <w:bCs/>
          <w:szCs w:val="22"/>
        </w:rPr>
        <w:t xml:space="preserve"> Report</w:t>
      </w:r>
    </w:p>
    <w:p w14:paraId="71ED203E" w14:textId="07DBA3CB" w:rsidR="00164CC0" w:rsidRPr="00164CC0" w:rsidRDefault="00164CC0" w:rsidP="00261F74">
      <w:pPr>
        <w:pStyle w:val="kj03123"/>
        <w:tabs>
          <w:tab w:val="clear" w:pos="360"/>
          <w:tab w:val="clear" w:pos="1267"/>
          <w:tab w:val="num" w:pos="1260"/>
        </w:tabs>
      </w:pPr>
      <w:r w:rsidRPr="00420EEA">
        <w:rPr>
          <w:rFonts w:cs="Arial"/>
          <w:bCs/>
          <w:szCs w:val="22"/>
        </w:rPr>
        <w:t>FAR – Federal Acquisition</w:t>
      </w:r>
      <w:r>
        <w:rPr>
          <w:rFonts w:cs="Arial"/>
          <w:bCs/>
          <w:szCs w:val="22"/>
        </w:rPr>
        <w:t xml:space="preserve"> Regulation</w:t>
      </w:r>
    </w:p>
    <w:p w14:paraId="4E604EAF" w14:textId="0E74E305" w:rsidR="00164CC0" w:rsidRPr="00164CC0" w:rsidRDefault="00164CC0" w:rsidP="00261F74">
      <w:pPr>
        <w:pStyle w:val="kj03123"/>
        <w:tabs>
          <w:tab w:val="clear" w:pos="360"/>
          <w:tab w:val="clear" w:pos="1267"/>
          <w:tab w:val="num" w:pos="1260"/>
        </w:tabs>
      </w:pPr>
      <w:r w:rsidRPr="00420EEA">
        <w:rPr>
          <w:rFonts w:cs="Arial"/>
          <w:bCs/>
          <w:szCs w:val="22"/>
        </w:rPr>
        <w:t>FIFO – First In First Out, process for inventory</w:t>
      </w:r>
      <w:r>
        <w:rPr>
          <w:rFonts w:cs="Arial"/>
          <w:bCs/>
          <w:szCs w:val="22"/>
        </w:rPr>
        <w:t xml:space="preserve"> usage</w:t>
      </w:r>
    </w:p>
    <w:p w14:paraId="71728504" w14:textId="65ACF376" w:rsidR="00164CC0" w:rsidRPr="00164CC0" w:rsidRDefault="00164CC0" w:rsidP="00261F74">
      <w:pPr>
        <w:pStyle w:val="kj03123"/>
        <w:tabs>
          <w:tab w:val="clear" w:pos="360"/>
          <w:tab w:val="clear" w:pos="1267"/>
          <w:tab w:val="num" w:pos="1260"/>
        </w:tabs>
      </w:pPr>
      <w:r w:rsidRPr="00420EEA">
        <w:rPr>
          <w:rFonts w:cs="Arial"/>
          <w:bCs/>
          <w:szCs w:val="22"/>
        </w:rPr>
        <w:t>FMEA – Failure Modes &amp; Effects</w:t>
      </w:r>
      <w:r>
        <w:rPr>
          <w:rFonts w:cs="Arial"/>
          <w:bCs/>
          <w:szCs w:val="22"/>
        </w:rPr>
        <w:t xml:space="preserve"> Analysis</w:t>
      </w:r>
    </w:p>
    <w:p w14:paraId="50225318" w14:textId="416B0B35" w:rsidR="00164CC0" w:rsidRPr="00164CC0" w:rsidRDefault="00164CC0" w:rsidP="00261F74">
      <w:pPr>
        <w:pStyle w:val="kj03123"/>
        <w:tabs>
          <w:tab w:val="clear" w:pos="360"/>
          <w:tab w:val="clear" w:pos="1267"/>
          <w:tab w:val="num" w:pos="1260"/>
        </w:tabs>
      </w:pPr>
      <w:r w:rsidRPr="00420EEA">
        <w:rPr>
          <w:rFonts w:cs="Arial"/>
          <w:bCs/>
          <w:szCs w:val="22"/>
        </w:rPr>
        <w:t>FPY – First Pass Yield, quality rate of parts made which do not require any rework, repair, retest, or s</w:t>
      </w:r>
      <w:r>
        <w:rPr>
          <w:rFonts w:cs="Arial"/>
          <w:bCs/>
          <w:szCs w:val="22"/>
        </w:rPr>
        <w:t>crap</w:t>
      </w:r>
    </w:p>
    <w:p w14:paraId="203E5427" w14:textId="12947A44" w:rsidR="00164CC0" w:rsidRPr="00164CC0" w:rsidRDefault="00164CC0" w:rsidP="00261F74">
      <w:pPr>
        <w:pStyle w:val="kj03123"/>
        <w:tabs>
          <w:tab w:val="clear" w:pos="360"/>
          <w:tab w:val="clear" w:pos="1267"/>
          <w:tab w:val="num" w:pos="1260"/>
        </w:tabs>
      </w:pPr>
      <w:r w:rsidRPr="00420EEA">
        <w:rPr>
          <w:rFonts w:cs="Arial"/>
          <w:bCs/>
          <w:szCs w:val="22"/>
        </w:rPr>
        <w:t>FV – Future</w:t>
      </w:r>
      <w:r>
        <w:rPr>
          <w:rFonts w:cs="Arial"/>
          <w:bCs/>
          <w:szCs w:val="22"/>
        </w:rPr>
        <w:t xml:space="preserve"> Value</w:t>
      </w:r>
    </w:p>
    <w:p w14:paraId="1654CCAF" w14:textId="5298CEB9" w:rsidR="00164CC0" w:rsidRPr="00164CC0" w:rsidRDefault="00164CC0" w:rsidP="00261F74">
      <w:pPr>
        <w:pStyle w:val="kj03123"/>
        <w:tabs>
          <w:tab w:val="clear" w:pos="360"/>
          <w:tab w:val="clear" w:pos="1267"/>
          <w:tab w:val="num" w:pos="1260"/>
        </w:tabs>
      </w:pPr>
      <w:r w:rsidRPr="00420EEA">
        <w:rPr>
          <w:rFonts w:cs="Arial"/>
          <w:bCs/>
          <w:szCs w:val="22"/>
        </w:rPr>
        <w:t>Gage R&amp;R – Gage Repeatability &amp; R</w:t>
      </w:r>
      <w:r>
        <w:rPr>
          <w:rFonts w:cs="Arial"/>
          <w:bCs/>
          <w:szCs w:val="22"/>
        </w:rPr>
        <w:t>eproducibility</w:t>
      </w:r>
    </w:p>
    <w:p w14:paraId="5D290673" w14:textId="66DEB5CA" w:rsidR="00164CC0" w:rsidRPr="00164CC0" w:rsidRDefault="00164CC0" w:rsidP="00261F74">
      <w:pPr>
        <w:pStyle w:val="kj03123"/>
        <w:tabs>
          <w:tab w:val="clear" w:pos="360"/>
          <w:tab w:val="clear" w:pos="1267"/>
          <w:tab w:val="num" w:pos="1260"/>
        </w:tabs>
      </w:pPr>
      <w:r w:rsidRPr="00420EEA">
        <w:rPr>
          <w:rFonts w:cs="Arial"/>
          <w:bCs/>
          <w:szCs w:val="22"/>
        </w:rPr>
        <w:t>GD&amp;T – Geometric Dimensioning &amp;</w:t>
      </w:r>
      <w:r>
        <w:rPr>
          <w:rFonts w:cs="Arial"/>
          <w:bCs/>
          <w:szCs w:val="22"/>
        </w:rPr>
        <w:t xml:space="preserve"> Tolerancing</w:t>
      </w:r>
    </w:p>
    <w:p w14:paraId="1E889D58" w14:textId="068255BF" w:rsidR="00164CC0" w:rsidRPr="00164CC0" w:rsidRDefault="00164CC0" w:rsidP="00261F74">
      <w:pPr>
        <w:pStyle w:val="kj03123"/>
        <w:tabs>
          <w:tab w:val="clear" w:pos="360"/>
          <w:tab w:val="clear" w:pos="1267"/>
          <w:tab w:val="num" w:pos="1260"/>
        </w:tabs>
      </w:pPr>
      <w:r w:rsidRPr="00420EEA">
        <w:rPr>
          <w:rFonts w:cs="Arial"/>
          <w:bCs/>
          <w:szCs w:val="22"/>
        </w:rPr>
        <w:t>Go/No-Go – Pass/fail criteria for inspection, attribute inspection for c</w:t>
      </w:r>
      <w:r>
        <w:rPr>
          <w:rFonts w:cs="Arial"/>
          <w:bCs/>
          <w:szCs w:val="22"/>
        </w:rPr>
        <w:t>ompliance</w:t>
      </w:r>
    </w:p>
    <w:p w14:paraId="5C780B30" w14:textId="32F378EF" w:rsidR="00164CC0" w:rsidRPr="00164CC0" w:rsidRDefault="00164CC0" w:rsidP="00261F74">
      <w:pPr>
        <w:pStyle w:val="kj03123"/>
        <w:tabs>
          <w:tab w:val="clear" w:pos="360"/>
          <w:tab w:val="clear" w:pos="1267"/>
          <w:tab w:val="num" w:pos="1260"/>
        </w:tabs>
      </w:pPr>
      <w:r w:rsidRPr="00420EEA">
        <w:rPr>
          <w:rFonts w:cs="Arial"/>
          <w:bCs/>
          <w:szCs w:val="22"/>
        </w:rPr>
        <w:t>GT or GTC – Greene, Tweed, &amp; Co</w:t>
      </w:r>
      <w:r>
        <w:rPr>
          <w:rFonts w:cs="Arial"/>
          <w:bCs/>
          <w:szCs w:val="22"/>
        </w:rPr>
        <w:t>.</w:t>
      </w:r>
    </w:p>
    <w:p w14:paraId="7CB7921A" w14:textId="123E8145" w:rsidR="00164CC0" w:rsidRPr="00164CC0" w:rsidRDefault="00164CC0" w:rsidP="00261F74">
      <w:pPr>
        <w:pStyle w:val="kj03123"/>
        <w:tabs>
          <w:tab w:val="clear" w:pos="360"/>
          <w:tab w:val="clear" w:pos="1267"/>
          <w:tab w:val="num" w:pos="1260"/>
        </w:tabs>
      </w:pPr>
      <w:r w:rsidRPr="00420EEA">
        <w:rPr>
          <w:rFonts w:cs="Arial"/>
          <w:bCs/>
          <w:szCs w:val="22"/>
        </w:rPr>
        <w:t>HMP – High Melting</w:t>
      </w:r>
      <w:r>
        <w:rPr>
          <w:rFonts w:cs="Arial"/>
          <w:bCs/>
          <w:szCs w:val="22"/>
        </w:rPr>
        <w:t xml:space="preserve"> Point</w:t>
      </w:r>
    </w:p>
    <w:p w14:paraId="1751F9E4" w14:textId="696EE30A" w:rsidR="00164CC0" w:rsidRPr="00164CC0" w:rsidRDefault="00164CC0" w:rsidP="00261F74">
      <w:pPr>
        <w:pStyle w:val="kj03123"/>
        <w:tabs>
          <w:tab w:val="clear" w:pos="360"/>
          <w:tab w:val="clear" w:pos="1267"/>
          <w:tab w:val="num" w:pos="1260"/>
        </w:tabs>
      </w:pPr>
      <w:r w:rsidRPr="00420EEA">
        <w:rPr>
          <w:rFonts w:cs="Arial"/>
          <w:bCs/>
          <w:szCs w:val="22"/>
        </w:rPr>
        <w:t>HPHT – High Pressure High</w:t>
      </w:r>
      <w:r>
        <w:rPr>
          <w:rFonts w:cs="Arial"/>
          <w:bCs/>
          <w:szCs w:val="22"/>
        </w:rPr>
        <w:t xml:space="preserve"> Temperature</w:t>
      </w:r>
    </w:p>
    <w:p w14:paraId="18417955" w14:textId="42317859" w:rsidR="00164CC0" w:rsidRPr="00164CC0" w:rsidRDefault="00164CC0" w:rsidP="00261F74">
      <w:pPr>
        <w:pStyle w:val="kj03123"/>
        <w:tabs>
          <w:tab w:val="clear" w:pos="360"/>
          <w:tab w:val="clear" w:pos="1267"/>
          <w:tab w:val="num" w:pos="1260"/>
        </w:tabs>
      </w:pPr>
      <w:r w:rsidRPr="00420EEA">
        <w:rPr>
          <w:rFonts w:cs="Arial"/>
          <w:bCs/>
          <w:szCs w:val="22"/>
        </w:rPr>
        <w:t>ICE – Incremental Center of</w:t>
      </w:r>
      <w:r>
        <w:rPr>
          <w:rFonts w:cs="Arial"/>
          <w:bCs/>
          <w:szCs w:val="22"/>
        </w:rPr>
        <w:t xml:space="preserve"> Excellence</w:t>
      </w:r>
    </w:p>
    <w:p w14:paraId="5CB316D4" w14:textId="169BB04E" w:rsidR="00164CC0" w:rsidRPr="00164CC0" w:rsidRDefault="00164CC0" w:rsidP="00261F74">
      <w:pPr>
        <w:pStyle w:val="kj03123"/>
        <w:tabs>
          <w:tab w:val="clear" w:pos="360"/>
          <w:tab w:val="clear" w:pos="1267"/>
          <w:tab w:val="num" w:pos="1260"/>
        </w:tabs>
      </w:pPr>
      <w:r w:rsidRPr="00420EEA">
        <w:rPr>
          <w:rFonts w:cs="Arial"/>
          <w:bCs/>
          <w:szCs w:val="22"/>
        </w:rPr>
        <w:t>ICS – Internal Compound</w:t>
      </w:r>
      <w:r>
        <w:rPr>
          <w:rFonts w:cs="Arial"/>
          <w:bCs/>
          <w:szCs w:val="22"/>
        </w:rPr>
        <w:t xml:space="preserve"> Specification</w:t>
      </w:r>
    </w:p>
    <w:p w14:paraId="12A7E715" w14:textId="44BAEB55" w:rsidR="00164CC0" w:rsidRPr="00164CC0" w:rsidRDefault="00164CC0" w:rsidP="00261F74">
      <w:pPr>
        <w:pStyle w:val="kj03123"/>
        <w:tabs>
          <w:tab w:val="clear" w:pos="360"/>
          <w:tab w:val="clear" w:pos="1267"/>
          <w:tab w:val="num" w:pos="1260"/>
        </w:tabs>
      </w:pPr>
      <w:r w:rsidRPr="00420EEA">
        <w:rPr>
          <w:rFonts w:cs="Arial"/>
          <w:bCs/>
          <w:szCs w:val="22"/>
        </w:rPr>
        <w:t>IDDOV – Identify, Define, Develop, Optimize, verify which is a Design for Six Sigma</w:t>
      </w:r>
      <w:r>
        <w:rPr>
          <w:rFonts w:cs="Arial"/>
          <w:bCs/>
          <w:szCs w:val="22"/>
        </w:rPr>
        <w:t xml:space="preserve"> methodology</w:t>
      </w:r>
    </w:p>
    <w:p w14:paraId="099AB54C" w14:textId="7D616029" w:rsidR="00164CC0" w:rsidRPr="00164CC0" w:rsidRDefault="00164CC0" w:rsidP="00261F74">
      <w:pPr>
        <w:pStyle w:val="kj03123"/>
        <w:tabs>
          <w:tab w:val="clear" w:pos="360"/>
          <w:tab w:val="clear" w:pos="1267"/>
          <w:tab w:val="num" w:pos="1260"/>
        </w:tabs>
      </w:pPr>
      <w:r w:rsidRPr="00420EEA">
        <w:rPr>
          <w:rFonts w:cs="Arial"/>
          <w:bCs/>
          <w:szCs w:val="22"/>
        </w:rPr>
        <w:t>IP – Intellectual Property, confidential company</w:t>
      </w:r>
      <w:r>
        <w:rPr>
          <w:rFonts w:cs="Arial"/>
          <w:bCs/>
          <w:szCs w:val="22"/>
        </w:rPr>
        <w:t xml:space="preserve"> information</w:t>
      </w:r>
    </w:p>
    <w:p w14:paraId="3BE33855" w14:textId="509F6105" w:rsidR="00164CC0" w:rsidRPr="00D724B6" w:rsidRDefault="00D724B6" w:rsidP="00261F74">
      <w:pPr>
        <w:pStyle w:val="kj03123"/>
        <w:tabs>
          <w:tab w:val="clear" w:pos="360"/>
          <w:tab w:val="clear" w:pos="1267"/>
          <w:tab w:val="num" w:pos="1260"/>
        </w:tabs>
      </w:pPr>
      <w:r w:rsidRPr="00420EEA">
        <w:rPr>
          <w:rFonts w:cs="Arial"/>
          <w:bCs/>
          <w:szCs w:val="22"/>
        </w:rPr>
        <w:t>ISO – International Organization for Standardization (specification</w:t>
      </w:r>
      <w:r>
        <w:rPr>
          <w:rFonts w:cs="Arial"/>
          <w:bCs/>
          <w:szCs w:val="22"/>
        </w:rPr>
        <w:t xml:space="preserve"> source)</w:t>
      </w:r>
    </w:p>
    <w:p w14:paraId="4E3012CD" w14:textId="5881D37B" w:rsidR="00D724B6" w:rsidRPr="00D724B6" w:rsidRDefault="00D724B6" w:rsidP="00261F74">
      <w:pPr>
        <w:pStyle w:val="kj03123"/>
        <w:tabs>
          <w:tab w:val="clear" w:pos="360"/>
          <w:tab w:val="clear" w:pos="1267"/>
          <w:tab w:val="num" w:pos="1260"/>
        </w:tabs>
      </w:pPr>
      <w:r w:rsidRPr="00420EEA">
        <w:rPr>
          <w:rFonts w:cs="Arial"/>
          <w:bCs/>
          <w:szCs w:val="22"/>
        </w:rPr>
        <w:t>ITAR – United States Department of State International Traffic in Arms</w:t>
      </w:r>
      <w:r>
        <w:rPr>
          <w:rFonts w:cs="Arial"/>
          <w:bCs/>
          <w:szCs w:val="22"/>
        </w:rPr>
        <w:t xml:space="preserve"> Regulations</w:t>
      </w:r>
    </w:p>
    <w:p w14:paraId="60E336D2" w14:textId="30A6D358" w:rsidR="00D724B6" w:rsidRDefault="00D724B6" w:rsidP="00261F74">
      <w:pPr>
        <w:pStyle w:val="kj03123"/>
        <w:tabs>
          <w:tab w:val="clear" w:pos="360"/>
          <w:tab w:val="clear" w:pos="1267"/>
          <w:tab w:val="num" w:pos="1260"/>
        </w:tabs>
      </w:pPr>
      <w:r w:rsidRPr="00420EEA">
        <w:rPr>
          <w:rFonts w:cs="Arial"/>
          <w:bCs/>
          <w:szCs w:val="22"/>
        </w:rPr>
        <w:t>JIS – Japanese Industrial Standard (specification</w:t>
      </w:r>
      <w:r>
        <w:rPr>
          <w:rFonts w:cs="Arial"/>
          <w:bCs/>
          <w:szCs w:val="22"/>
        </w:rPr>
        <w:t xml:space="preserve"> source)</w:t>
      </w:r>
    </w:p>
    <w:p w14:paraId="71DBE346" w14:textId="77777777" w:rsidR="00D724B6" w:rsidRDefault="001D5FBA" w:rsidP="00D724B6">
      <w:hyperlink w:anchor="TableOfContents" w:history="1">
        <w:r w:rsidR="00D724B6" w:rsidRPr="00066290">
          <w:rPr>
            <w:rStyle w:val="Hyperlink"/>
            <w:rFonts w:cs="Arial"/>
            <w:sz w:val="16"/>
            <w:szCs w:val="14"/>
          </w:rPr>
          <w:t>Return to Table of Contents</w:t>
        </w:r>
      </w:hyperlink>
      <w:r w:rsidR="00D724B6">
        <w:br w:type="page"/>
      </w:r>
    </w:p>
    <w:p w14:paraId="27FA5EC4" w14:textId="182E5B37" w:rsidR="00E26FE2" w:rsidRPr="00D724B6" w:rsidRDefault="00D724B6" w:rsidP="00D724B6">
      <w:pPr>
        <w:pStyle w:val="kj03123"/>
        <w:tabs>
          <w:tab w:val="clear" w:pos="360"/>
          <w:tab w:val="clear" w:pos="1267"/>
          <w:tab w:val="num" w:pos="1260"/>
        </w:tabs>
      </w:pPr>
      <w:r w:rsidRPr="00420EEA">
        <w:rPr>
          <w:rFonts w:cs="Arial"/>
          <w:bCs/>
          <w:szCs w:val="22"/>
        </w:rPr>
        <w:t>Kaizen – Localized, small scale continuous improvement</w:t>
      </w:r>
      <w:r>
        <w:rPr>
          <w:rFonts w:cs="Arial"/>
          <w:bCs/>
          <w:szCs w:val="22"/>
        </w:rPr>
        <w:t xml:space="preserve"> projects</w:t>
      </w:r>
    </w:p>
    <w:p w14:paraId="2C8986D6" w14:textId="4D6BAEF3" w:rsidR="00D724B6" w:rsidRPr="00D724B6" w:rsidRDefault="00D724B6" w:rsidP="00D724B6">
      <w:pPr>
        <w:pStyle w:val="kj03123"/>
        <w:tabs>
          <w:tab w:val="clear" w:pos="360"/>
          <w:tab w:val="clear" w:pos="1267"/>
          <w:tab w:val="num" w:pos="1260"/>
        </w:tabs>
      </w:pPr>
      <w:r w:rsidRPr="00420EEA">
        <w:rPr>
          <w:rFonts w:cs="Arial"/>
          <w:bCs/>
          <w:szCs w:val="22"/>
        </w:rPr>
        <w:t xml:space="preserve">KPI – Key </w:t>
      </w:r>
      <w:r>
        <w:rPr>
          <w:rFonts w:cs="Arial"/>
          <w:bCs/>
          <w:szCs w:val="22"/>
        </w:rPr>
        <w:t>Performance Indicator</w:t>
      </w:r>
    </w:p>
    <w:p w14:paraId="68EAED3B" w14:textId="075FEF84" w:rsidR="00D724B6" w:rsidRPr="00D724B6" w:rsidRDefault="00D724B6" w:rsidP="00D724B6">
      <w:pPr>
        <w:pStyle w:val="kj03123"/>
        <w:tabs>
          <w:tab w:val="clear" w:pos="360"/>
          <w:tab w:val="clear" w:pos="1267"/>
          <w:tab w:val="num" w:pos="1260"/>
        </w:tabs>
      </w:pPr>
      <w:r w:rsidRPr="00420EEA">
        <w:rPr>
          <w:rFonts w:cs="Arial"/>
          <w:bCs/>
          <w:szCs w:val="22"/>
        </w:rPr>
        <w:t xml:space="preserve">Lean Sigma – Strategy to eliminate waste to improve delivery performance </w:t>
      </w:r>
      <w:r>
        <w:rPr>
          <w:rFonts w:cs="Arial"/>
          <w:bCs/>
          <w:szCs w:val="22"/>
        </w:rPr>
        <w:t>and</w:t>
      </w:r>
      <w:r w:rsidRPr="00420EEA">
        <w:rPr>
          <w:rFonts w:cs="Arial"/>
          <w:bCs/>
          <w:szCs w:val="22"/>
        </w:rPr>
        <w:t xml:space="preserve"> reduce</w:t>
      </w:r>
      <w:r>
        <w:rPr>
          <w:rFonts w:cs="Arial"/>
          <w:bCs/>
          <w:szCs w:val="22"/>
        </w:rPr>
        <w:t xml:space="preserve"> cost</w:t>
      </w:r>
    </w:p>
    <w:p w14:paraId="34A17E46" w14:textId="645442C2" w:rsidR="00D724B6" w:rsidRPr="00D724B6" w:rsidRDefault="00D724B6" w:rsidP="00D724B6">
      <w:pPr>
        <w:pStyle w:val="kj03123"/>
        <w:tabs>
          <w:tab w:val="clear" w:pos="360"/>
          <w:tab w:val="clear" w:pos="1267"/>
          <w:tab w:val="num" w:pos="1260"/>
        </w:tabs>
      </w:pPr>
      <w:r w:rsidRPr="00420EEA">
        <w:rPr>
          <w:rFonts w:cs="Arial"/>
          <w:bCs/>
          <w:szCs w:val="22"/>
        </w:rPr>
        <w:t>LOI – Letter of</w:t>
      </w:r>
      <w:r>
        <w:rPr>
          <w:rFonts w:cs="Arial"/>
          <w:bCs/>
          <w:szCs w:val="22"/>
        </w:rPr>
        <w:t xml:space="preserve"> Intent</w:t>
      </w:r>
    </w:p>
    <w:p w14:paraId="6B9F3EB3" w14:textId="18DC58CC" w:rsidR="00D724B6" w:rsidRPr="00D724B6" w:rsidRDefault="00D724B6" w:rsidP="00D724B6">
      <w:pPr>
        <w:pStyle w:val="kj03123"/>
        <w:tabs>
          <w:tab w:val="clear" w:pos="360"/>
          <w:tab w:val="clear" w:pos="1267"/>
          <w:tab w:val="num" w:pos="1260"/>
        </w:tabs>
      </w:pPr>
      <w:r w:rsidRPr="00420EEA">
        <w:rPr>
          <w:rFonts w:cs="Arial"/>
          <w:bCs/>
          <w:szCs w:val="22"/>
        </w:rPr>
        <w:t>LSS – Lean Six Si</w:t>
      </w:r>
      <w:r>
        <w:rPr>
          <w:rFonts w:cs="Arial"/>
          <w:bCs/>
          <w:szCs w:val="22"/>
        </w:rPr>
        <w:t>gma</w:t>
      </w:r>
    </w:p>
    <w:p w14:paraId="43D849B6" w14:textId="3EFCE957" w:rsidR="00D724B6" w:rsidRPr="00D56E4B" w:rsidRDefault="00D56E4B" w:rsidP="00D724B6">
      <w:pPr>
        <w:pStyle w:val="kj03123"/>
        <w:tabs>
          <w:tab w:val="clear" w:pos="360"/>
          <w:tab w:val="clear" w:pos="1267"/>
          <w:tab w:val="num" w:pos="1260"/>
        </w:tabs>
      </w:pPr>
      <w:r w:rsidRPr="00865577">
        <mc:AlternateContent>
          <mc:Choice Requires="wps">
            <w:drawing>
              <wp:anchor distT="45720" distB="45720" distL="114300" distR="114300" simplePos="0" relativeHeight="251711488" behindDoc="0" locked="0" layoutInCell="1" allowOverlap="1" wp14:anchorId="32075A83" wp14:editId="19668D70">
                <wp:simplePos x="0" y="0"/>
                <wp:positionH relativeFrom="column">
                  <wp:posOffset>-390896</wp:posOffset>
                </wp:positionH>
                <wp:positionV relativeFrom="paragraph">
                  <wp:posOffset>181610</wp:posOffset>
                </wp:positionV>
                <wp:extent cx="365760" cy="1404620"/>
                <wp:effectExtent l="0" t="0" r="0" b="8890"/>
                <wp:wrapNone/>
                <wp:docPr id="4958228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404620"/>
                        </a:xfrm>
                        <a:prstGeom prst="rect">
                          <a:avLst/>
                        </a:prstGeom>
                        <a:solidFill>
                          <a:srgbClr val="FFFFFF"/>
                        </a:solidFill>
                        <a:ln w="9525">
                          <a:noFill/>
                          <a:miter lim="800000"/>
                          <a:headEnd/>
                          <a:tailEnd/>
                        </a:ln>
                      </wps:spPr>
                      <wps:txbx>
                        <w:txbxContent>
                          <w:p w14:paraId="31A350BB" w14:textId="77777777" w:rsidR="00D56E4B" w:rsidRPr="006659B4" w:rsidRDefault="00D56E4B" w:rsidP="00D56E4B">
                            <w:pPr>
                              <w:tabs>
                                <w:tab w:val="left" w:pos="187"/>
                                <w:tab w:val="left" w:pos="547"/>
                                <w:tab w:val="left" w:pos="1267"/>
                                <w:tab w:val="left" w:pos="2160"/>
                                <w:tab w:val="left" w:pos="3240"/>
                                <w:tab w:val="left" w:pos="4320"/>
                                <w:tab w:val="left" w:pos="5760"/>
                                <w:tab w:val="left" w:pos="7387"/>
                              </w:tabs>
                              <w:jc w:val="right"/>
                              <w:rPr>
                                <w:rFonts w:cs="Arial"/>
                              </w:rPr>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075A83" id="_x0000_s1045" type="#_x0000_t202" style="position:absolute;left:0;text-align:left;margin-left:-30.8pt;margin-top:14.3pt;width:28.8pt;height:110.6pt;z-index:251711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IxzEwIAAP4DAAAOAAAAZHJzL2Uyb0RvYy54bWysk99u2yAUxu8n7R0Q94udLEkb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" stroked="f">
                <v:textbox style="mso-fit-shape-to-text:t">
                  <w:txbxContent>
                    <w:p w14:paraId="31A350BB" w14:textId="77777777" w:rsidR="00D56E4B" w:rsidRPr="006659B4" w:rsidRDefault="00D56E4B" w:rsidP="00D56E4B">
                      <w:pPr>
                        <w:tabs>
                          <w:tab w:val="left" w:pos="187"/>
                          <w:tab w:val="left" w:pos="547"/>
                          <w:tab w:val="left" w:pos="1267"/>
                          <w:tab w:val="left" w:pos="2160"/>
                          <w:tab w:val="left" w:pos="3240"/>
                          <w:tab w:val="left" w:pos="4320"/>
                          <w:tab w:val="left" w:pos="5760"/>
                          <w:tab w:val="left" w:pos="7387"/>
                        </w:tabs>
                        <w:jc w:val="right"/>
                        <w:rPr>
                          <w:rFonts w:cs="Arial"/>
                        </w:rPr>
                      </w:pPr>
                      <w:r>
                        <w:t>|</w:t>
                      </w:r>
                    </w:p>
                  </w:txbxContent>
                </v:textbox>
              </v:shape>
            </w:pict>
          </mc:Fallback>
        </mc:AlternateContent>
      </w:r>
      <w:r w:rsidR="00D724B6" w:rsidRPr="00420EEA">
        <w:rPr>
          <w:rFonts w:cs="Arial"/>
          <w:bCs/>
          <w:szCs w:val="22"/>
        </w:rPr>
        <w:t>LTA – Long Term A</w:t>
      </w:r>
      <w:r w:rsidR="00D724B6">
        <w:rPr>
          <w:rFonts w:cs="Arial"/>
          <w:bCs/>
          <w:szCs w:val="22"/>
        </w:rPr>
        <w:t>greement</w:t>
      </w:r>
    </w:p>
    <w:p w14:paraId="35675931" w14:textId="14B35628" w:rsidR="00D56E4B" w:rsidRPr="00D724B6" w:rsidRDefault="00D56E4B" w:rsidP="00D724B6">
      <w:pPr>
        <w:pStyle w:val="kj03123"/>
        <w:tabs>
          <w:tab w:val="clear" w:pos="360"/>
          <w:tab w:val="clear" w:pos="1267"/>
          <w:tab w:val="num" w:pos="1260"/>
        </w:tabs>
      </w:pPr>
      <w:r>
        <w:rPr>
          <w:rFonts w:cs="Arial"/>
          <w:bCs/>
          <w:szCs w:val="22"/>
        </w:rPr>
        <w:t>M-TEC – Material Testing, Engineering &amp; Compliance (formerly CE)</w:t>
      </w:r>
    </w:p>
    <w:p w14:paraId="00544FD5" w14:textId="149466BA" w:rsidR="00D724B6" w:rsidRPr="00D724B6" w:rsidRDefault="00D724B6" w:rsidP="00D724B6">
      <w:pPr>
        <w:pStyle w:val="kj03123"/>
        <w:tabs>
          <w:tab w:val="clear" w:pos="360"/>
          <w:tab w:val="clear" w:pos="1267"/>
          <w:tab w:val="num" w:pos="1260"/>
        </w:tabs>
      </w:pPr>
      <w:r w:rsidRPr="00420EEA">
        <w:rPr>
          <w:rFonts w:cs="Arial"/>
          <w:bCs/>
          <w:szCs w:val="22"/>
        </w:rPr>
        <w:t>MIL-STD – Military Standards (US Department of</w:t>
      </w:r>
      <w:r>
        <w:rPr>
          <w:rFonts w:cs="Arial"/>
          <w:bCs/>
          <w:szCs w:val="22"/>
        </w:rPr>
        <w:t xml:space="preserve"> Defense)</w:t>
      </w:r>
    </w:p>
    <w:p w14:paraId="4F1CEA4B" w14:textId="0C5E6063" w:rsidR="00D724B6" w:rsidRPr="00D724B6" w:rsidRDefault="00D724B6" w:rsidP="00D724B6">
      <w:pPr>
        <w:pStyle w:val="kj03123"/>
        <w:tabs>
          <w:tab w:val="clear" w:pos="360"/>
          <w:tab w:val="clear" w:pos="1267"/>
          <w:tab w:val="num" w:pos="1260"/>
        </w:tabs>
      </w:pPr>
      <w:r w:rsidRPr="00420EEA">
        <w:rPr>
          <w:rFonts w:cs="Arial"/>
          <w:bCs/>
          <w:szCs w:val="22"/>
        </w:rPr>
        <w:t>MOQ – Minimum Order</w:t>
      </w:r>
      <w:r>
        <w:rPr>
          <w:rFonts w:cs="Arial"/>
          <w:bCs/>
          <w:szCs w:val="22"/>
        </w:rPr>
        <w:t xml:space="preserve"> Quantity</w:t>
      </w:r>
    </w:p>
    <w:p w14:paraId="0C0975C3" w14:textId="4D2F1C6E" w:rsidR="00D724B6" w:rsidRPr="00D724B6" w:rsidRDefault="00D724B6" w:rsidP="00D724B6">
      <w:pPr>
        <w:pStyle w:val="kj03123"/>
        <w:tabs>
          <w:tab w:val="clear" w:pos="360"/>
          <w:tab w:val="clear" w:pos="1267"/>
          <w:tab w:val="num" w:pos="1260"/>
        </w:tabs>
      </w:pPr>
      <w:r w:rsidRPr="00420EEA">
        <w:rPr>
          <w:rFonts w:cs="Arial"/>
          <w:bCs/>
          <w:szCs w:val="22"/>
        </w:rPr>
        <w:t>MRP – Manufacturing Requirement Planning, production scheduling</w:t>
      </w:r>
      <w:r>
        <w:rPr>
          <w:rFonts w:cs="Arial"/>
          <w:bCs/>
          <w:szCs w:val="22"/>
        </w:rPr>
        <w:t xml:space="preserve"> tool</w:t>
      </w:r>
    </w:p>
    <w:p w14:paraId="161D1B82" w14:textId="58599F11" w:rsidR="00D724B6" w:rsidRPr="00D724B6" w:rsidRDefault="002B06FA" w:rsidP="00D724B6">
      <w:pPr>
        <w:pStyle w:val="kj03123"/>
        <w:tabs>
          <w:tab w:val="clear" w:pos="360"/>
          <w:tab w:val="clear" w:pos="1267"/>
          <w:tab w:val="num" w:pos="1260"/>
        </w:tabs>
      </w:pPr>
      <w:r w:rsidRPr="00865577">
        <mc:AlternateContent>
          <mc:Choice Requires="wps">
            <w:drawing>
              <wp:anchor distT="45720" distB="45720" distL="114300" distR="114300" simplePos="0" relativeHeight="251713536" behindDoc="0" locked="0" layoutInCell="1" allowOverlap="1" wp14:anchorId="0C787590" wp14:editId="0891BD3D">
                <wp:simplePos x="0" y="0"/>
                <wp:positionH relativeFrom="column">
                  <wp:posOffset>-374386</wp:posOffset>
                </wp:positionH>
                <wp:positionV relativeFrom="paragraph">
                  <wp:posOffset>342265</wp:posOffset>
                </wp:positionV>
                <wp:extent cx="365760" cy="1404620"/>
                <wp:effectExtent l="0" t="0" r="0" b="8890"/>
                <wp:wrapNone/>
                <wp:docPr id="1674793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404620"/>
                        </a:xfrm>
                        <a:prstGeom prst="rect">
                          <a:avLst/>
                        </a:prstGeom>
                        <a:solidFill>
                          <a:srgbClr val="FFFFFF"/>
                        </a:solidFill>
                        <a:ln w="9525">
                          <a:noFill/>
                          <a:miter lim="800000"/>
                          <a:headEnd/>
                          <a:tailEnd/>
                        </a:ln>
                      </wps:spPr>
                      <wps:txbx>
                        <w:txbxContent>
                          <w:p w14:paraId="500F47C5" w14:textId="77777777" w:rsidR="002B06FA" w:rsidRPr="006659B4" w:rsidRDefault="002B06FA" w:rsidP="002B06FA">
                            <w:pPr>
                              <w:tabs>
                                <w:tab w:val="left" w:pos="187"/>
                                <w:tab w:val="left" w:pos="547"/>
                                <w:tab w:val="left" w:pos="1267"/>
                                <w:tab w:val="left" w:pos="2160"/>
                                <w:tab w:val="left" w:pos="3240"/>
                                <w:tab w:val="left" w:pos="4320"/>
                                <w:tab w:val="left" w:pos="5760"/>
                                <w:tab w:val="left" w:pos="7387"/>
                              </w:tabs>
                              <w:jc w:val="right"/>
                              <w:rPr>
                                <w:rFonts w:cs="Arial"/>
                              </w:rPr>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787590" id="_x0000_s1046" type="#_x0000_t202" style="position:absolute;left:0;text-align:left;margin-left:-29.5pt;margin-top:26.95pt;width:28.8pt;height:110.6pt;z-index:251713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y/jEQIAAP4DAAAOAAAAZHJzL2Uyb0RvYy54bWysU9tu2zAMfR+wfxD0vtjJkrQ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" stroked="f">
                <v:textbox style="mso-fit-shape-to-text:t">
                  <w:txbxContent>
                    <w:p w14:paraId="500F47C5" w14:textId="77777777" w:rsidR="002B06FA" w:rsidRPr="006659B4" w:rsidRDefault="002B06FA" w:rsidP="002B06FA">
                      <w:pPr>
                        <w:tabs>
                          <w:tab w:val="left" w:pos="187"/>
                          <w:tab w:val="left" w:pos="547"/>
                          <w:tab w:val="left" w:pos="1267"/>
                          <w:tab w:val="left" w:pos="2160"/>
                          <w:tab w:val="left" w:pos="3240"/>
                          <w:tab w:val="left" w:pos="4320"/>
                          <w:tab w:val="left" w:pos="5760"/>
                          <w:tab w:val="left" w:pos="7387"/>
                        </w:tabs>
                        <w:jc w:val="right"/>
                        <w:rPr>
                          <w:rFonts w:cs="Arial"/>
                        </w:rPr>
                      </w:pPr>
                      <w:r>
                        <w:t>|</w:t>
                      </w:r>
                    </w:p>
                  </w:txbxContent>
                </v:textbox>
              </v:shape>
            </w:pict>
          </mc:Fallback>
        </mc:AlternateContent>
      </w:r>
      <w:r w:rsidR="00D724B6" w:rsidRPr="00420EEA">
        <w:rPr>
          <w:rFonts w:cs="Arial"/>
          <w:bCs/>
          <w:szCs w:val="22"/>
        </w:rPr>
        <w:t xml:space="preserve">MSA – Measurement Systems Analysis, technique used to quantify the capability </w:t>
      </w:r>
      <w:r w:rsidR="0030133D">
        <w:rPr>
          <w:rFonts w:cs="Arial"/>
          <w:bCs/>
          <w:szCs w:val="22"/>
        </w:rPr>
        <w:t>and</w:t>
      </w:r>
      <w:r w:rsidR="00D724B6" w:rsidRPr="00420EEA">
        <w:rPr>
          <w:rFonts w:cs="Arial"/>
          <w:bCs/>
          <w:szCs w:val="22"/>
        </w:rPr>
        <w:t xml:space="preserve"> precision of a measurement</w:t>
      </w:r>
      <w:r w:rsidR="00D724B6">
        <w:rPr>
          <w:rFonts w:cs="Arial"/>
          <w:bCs/>
          <w:szCs w:val="22"/>
        </w:rPr>
        <w:t xml:space="preserve"> system</w:t>
      </w:r>
    </w:p>
    <w:p w14:paraId="6D2DE171" w14:textId="42C5C29E" w:rsidR="00D724B6" w:rsidRPr="002B06FA" w:rsidRDefault="00B966A9" w:rsidP="00D724B6">
      <w:pPr>
        <w:pStyle w:val="kj03123"/>
        <w:tabs>
          <w:tab w:val="clear" w:pos="360"/>
          <w:tab w:val="clear" w:pos="1267"/>
          <w:tab w:val="num" w:pos="1260"/>
        </w:tabs>
      </w:pPr>
      <w:r w:rsidRPr="00420EEA">
        <w:rPr>
          <w:rFonts w:cs="Arial"/>
          <w:bCs/>
          <w:szCs w:val="22"/>
        </w:rPr>
        <w:t>MSDS – Material Safety Data</w:t>
      </w:r>
      <w:r>
        <w:rPr>
          <w:rFonts w:cs="Arial"/>
          <w:bCs/>
          <w:szCs w:val="22"/>
        </w:rPr>
        <w:t xml:space="preserve"> Sheet</w:t>
      </w:r>
      <w:r w:rsidR="00D32A13">
        <w:rPr>
          <w:rFonts w:cs="Arial"/>
          <w:bCs/>
          <w:szCs w:val="22"/>
        </w:rPr>
        <w:t xml:space="preserve"> (</w:t>
      </w:r>
      <w:r w:rsidR="00D32A13" w:rsidRPr="002B06FA">
        <w:rPr>
          <w:rFonts w:cs="Arial"/>
          <w:bCs/>
          <w:szCs w:val="22"/>
        </w:rPr>
        <w:t>now SDS)</w:t>
      </w:r>
    </w:p>
    <w:p w14:paraId="42D238EE" w14:textId="585F7AB5" w:rsidR="00B966A9" w:rsidRPr="00B966A9" w:rsidRDefault="00B966A9" w:rsidP="00D724B6">
      <w:pPr>
        <w:pStyle w:val="kj03123"/>
        <w:tabs>
          <w:tab w:val="clear" w:pos="360"/>
          <w:tab w:val="clear" w:pos="1267"/>
          <w:tab w:val="num" w:pos="1260"/>
        </w:tabs>
      </w:pPr>
      <w:r>
        <w:rPr>
          <w:rFonts w:cs="Arial"/>
          <w:bCs/>
          <w:szCs w:val="22"/>
        </w:rPr>
        <w:t>MTC – Material Test Certificate</w:t>
      </w:r>
    </w:p>
    <w:p w14:paraId="4E293212" w14:textId="6D729110" w:rsidR="00B966A9" w:rsidRPr="00B966A9" w:rsidRDefault="00B966A9" w:rsidP="00D724B6">
      <w:pPr>
        <w:pStyle w:val="kj03123"/>
        <w:tabs>
          <w:tab w:val="clear" w:pos="360"/>
          <w:tab w:val="clear" w:pos="1267"/>
          <w:tab w:val="num" w:pos="1260"/>
        </w:tabs>
      </w:pPr>
      <w:r w:rsidRPr="00420EEA">
        <w:rPr>
          <w:rFonts w:cs="Arial"/>
          <w:bCs/>
          <w:szCs w:val="22"/>
        </w:rPr>
        <w:t>MTR – Material Test Report</w:t>
      </w:r>
      <w:r>
        <w:rPr>
          <w:rFonts w:cs="Arial"/>
          <w:bCs/>
          <w:szCs w:val="22"/>
        </w:rPr>
        <w:t>/Results</w:t>
      </w:r>
    </w:p>
    <w:p w14:paraId="68497A8C" w14:textId="6AC30FDA" w:rsidR="00B966A9" w:rsidRPr="00B966A9" w:rsidRDefault="00B966A9" w:rsidP="00D724B6">
      <w:pPr>
        <w:pStyle w:val="kj03123"/>
        <w:tabs>
          <w:tab w:val="clear" w:pos="360"/>
          <w:tab w:val="clear" w:pos="1267"/>
          <w:tab w:val="num" w:pos="1260"/>
        </w:tabs>
      </w:pPr>
      <w:r w:rsidRPr="00420EEA">
        <w:rPr>
          <w:rFonts w:cs="Arial"/>
          <w:bCs/>
          <w:szCs w:val="22"/>
        </w:rPr>
        <w:t>NADCAP – National Aerospace &amp; Defense Contractors Accreditation Program (specification source</w:t>
      </w:r>
      <w:r>
        <w:rPr>
          <w:rFonts w:cs="Arial"/>
          <w:bCs/>
          <w:szCs w:val="22"/>
        </w:rPr>
        <w:t>)</w:t>
      </w:r>
    </w:p>
    <w:p w14:paraId="449D4B46" w14:textId="6E8E5757" w:rsidR="00B966A9" w:rsidRPr="00CA220E" w:rsidRDefault="00CA220E" w:rsidP="00D724B6">
      <w:pPr>
        <w:pStyle w:val="kj03123"/>
        <w:tabs>
          <w:tab w:val="clear" w:pos="360"/>
          <w:tab w:val="clear" w:pos="1267"/>
          <w:tab w:val="num" w:pos="1260"/>
        </w:tabs>
      </w:pPr>
      <w:r w:rsidRPr="00420EEA">
        <w:rPr>
          <w:rFonts w:cs="Arial"/>
          <w:bCs/>
          <w:szCs w:val="22"/>
        </w:rPr>
        <w:t>NCR – Nonconformance</w:t>
      </w:r>
      <w:r>
        <w:rPr>
          <w:rFonts w:cs="Arial"/>
          <w:bCs/>
          <w:szCs w:val="22"/>
        </w:rPr>
        <w:t xml:space="preserve"> Report</w:t>
      </w:r>
    </w:p>
    <w:p w14:paraId="19EF593F" w14:textId="6FACB42E" w:rsidR="00CA220E" w:rsidRPr="00CA220E" w:rsidRDefault="00CA220E" w:rsidP="00D724B6">
      <w:pPr>
        <w:pStyle w:val="kj03123"/>
        <w:tabs>
          <w:tab w:val="clear" w:pos="360"/>
          <w:tab w:val="clear" w:pos="1267"/>
          <w:tab w:val="num" w:pos="1260"/>
        </w:tabs>
      </w:pPr>
      <w:r w:rsidRPr="00420EEA">
        <w:rPr>
          <w:rFonts w:cs="Arial"/>
          <w:bCs/>
          <w:szCs w:val="22"/>
        </w:rPr>
        <w:t>NDA – Non-Disclosure</w:t>
      </w:r>
      <w:r>
        <w:rPr>
          <w:rFonts w:cs="Arial"/>
          <w:bCs/>
          <w:szCs w:val="22"/>
        </w:rPr>
        <w:t xml:space="preserve"> Agreement</w:t>
      </w:r>
    </w:p>
    <w:p w14:paraId="5E55067C" w14:textId="2944100E" w:rsidR="00CA220E" w:rsidRPr="00CA220E" w:rsidRDefault="00CA220E" w:rsidP="00D724B6">
      <w:pPr>
        <w:pStyle w:val="kj03123"/>
        <w:tabs>
          <w:tab w:val="clear" w:pos="360"/>
          <w:tab w:val="clear" w:pos="1267"/>
          <w:tab w:val="num" w:pos="1260"/>
        </w:tabs>
      </w:pPr>
      <w:r w:rsidRPr="00420EEA">
        <w:rPr>
          <w:rFonts w:cs="Arial"/>
          <w:bCs/>
          <w:szCs w:val="22"/>
        </w:rPr>
        <w:t>NDT – Non-Destructive</w:t>
      </w:r>
      <w:r>
        <w:rPr>
          <w:rFonts w:cs="Arial"/>
          <w:bCs/>
          <w:szCs w:val="22"/>
        </w:rPr>
        <w:t xml:space="preserve"> Testing</w:t>
      </w:r>
    </w:p>
    <w:p w14:paraId="3B720ACD" w14:textId="7F652382" w:rsidR="00CA220E" w:rsidRPr="00CA220E" w:rsidRDefault="00CA220E" w:rsidP="00D724B6">
      <w:pPr>
        <w:pStyle w:val="kj03123"/>
        <w:tabs>
          <w:tab w:val="clear" w:pos="360"/>
          <w:tab w:val="clear" w:pos="1267"/>
          <w:tab w:val="num" w:pos="1260"/>
        </w:tabs>
      </w:pPr>
      <w:r w:rsidRPr="00420EEA">
        <w:rPr>
          <w:rFonts w:cs="Arial"/>
          <w:bCs/>
          <w:szCs w:val="22"/>
        </w:rPr>
        <w:t>NPD – New Product Develop</w:t>
      </w:r>
      <w:r>
        <w:rPr>
          <w:rFonts w:cs="Arial"/>
          <w:bCs/>
          <w:szCs w:val="22"/>
        </w:rPr>
        <w:t>ment</w:t>
      </w:r>
    </w:p>
    <w:p w14:paraId="165D186F" w14:textId="1201B172" w:rsidR="00CA220E" w:rsidRPr="00CA220E" w:rsidRDefault="00CA220E" w:rsidP="00D724B6">
      <w:pPr>
        <w:pStyle w:val="kj03123"/>
        <w:tabs>
          <w:tab w:val="clear" w:pos="360"/>
          <w:tab w:val="clear" w:pos="1267"/>
          <w:tab w:val="num" w:pos="1260"/>
        </w:tabs>
      </w:pPr>
      <w:r w:rsidRPr="00420EEA">
        <w:rPr>
          <w:rFonts w:cs="Arial"/>
          <w:bCs/>
          <w:szCs w:val="22"/>
        </w:rPr>
        <w:t>OCM – Original Component Manufactu</w:t>
      </w:r>
      <w:r>
        <w:rPr>
          <w:rFonts w:cs="Arial"/>
          <w:bCs/>
          <w:szCs w:val="22"/>
        </w:rPr>
        <w:t>rer</w:t>
      </w:r>
    </w:p>
    <w:p w14:paraId="51AC0945" w14:textId="4AB49D0D" w:rsidR="00CA220E" w:rsidRPr="00CA220E" w:rsidRDefault="00CA220E" w:rsidP="00D724B6">
      <w:pPr>
        <w:pStyle w:val="kj03123"/>
        <w:tabs>
          <w:tab w:val="clear" w:pos="360"/>
          <w:tab w:val="clear" w:pos="1267"/>
          <w:tab w:val="num" w:pos="1260"/>
        </w:tabs>
      </w:pPr>
      <w:r w:rsidRPr="00420EEA">
        <w:rPr>
          <w:rFonts w:cs="Arial"/>
          <w:bCs/>
          <w:szCs w:val="22"/>
        </w:rPr>
        <w:t>OEM – Original Equipment Manufactu</w:t>
      </w:r>
      <w:r>
        <w:rPr>
          <w:rFonts w:cs="Arial"/>
          <w:bCs/>
          <w:szCs w:val="22"/>
        </w:rPr>
        <w:t>rer</w:t>
      </w:r>
    </w:p>
    <w:p w14:paraId="44CD839F" w14:textId="35980319" w:rsidR="00CA220E" w:rsidRPr="00CA220E" w:rsidRDefault="00CA220E" w:rsidP="00D724B6">
      <w:pPr>
        <w:pStyle w:val="kj03123"/>
        <w:tabs>
          <w:tab w:val="clear" w:pos="360"/>
          <w:tab w:val="clear" w:pos="1267"/>
          <w:tab w:val="num" w:pos="1260"/>
        </w:tabs>
      </w:pPr>
      <w:r w:rsidRPr="00420EEA">
        <w:rPr>
          <w:rFonts w:cs="Arial"/>
          <w:bCs/>
          <w:szCs w:val="22"/>
        </w:rPr>
        <w:t>OSHA – United States Department of Labor Occupational Safety &amp; Health</w:t>
      </w:r>
      <w:r>
        <w:rPr>
          <w:rFonts w:cs="Arial"/>
          <w:bCs/>
          <w:szCs w:val="22"/>
        </w:rPr>
        <w:t xml:space="preserve"> Administration</w:t>
      </w:r>
    </w:p>
    <w:p w14:paraId="6F9E41D4" w14:textId="32DB6F1E" w:rsidR="00CA220E" w:rsidRPr="00CA220E" w:rsidRDefault="00CA220E" w:rsidP="00D724B6">
      <w:pPr>
        <w:pStyle w:val="kj03123"/>
        <w:tabs>
          <w:tab w:val="clear" w:pos="360"/>
          <w:tab w:val="clear" w:pos="1267"/>
          <w:tab w:val="num" w:pos="1260"/>
        </w:tabs>
      </w:pPr>
      <w:r w:rsidRPr="00420EEA">
        <w:rPr>
          <w:rFonts w:cs="Arial"/>
          <w:bCs/>
          <w:szCs w:val="22"/>
        </w:rPr>
        <w:t>OOR – Open Order</w:t>
      </w:r>
      <w:r>
        <w:rPr>
          <w:rFonts w:cs="Arial"/>
          <w:bCs/>
          <w:szCs w:val="22"/>
        </w:rPr>
        <w:t xml:space="preserve"> Report</w:t>
      </w:r>
    </w:p>
    <w:p w14:paraId="441F3F32" w14:textId="0BF5F082" w:rsidR="00CA220E" w:rsidRPr="00CA220E" w:rsidRDefault="00CA220E" w:rsidP="00D724B6">
      <w:pPr>
        <w:pStyle w:val="kj03123"/>
        <w:tabs>
          <w:tab w:val="clear" w:pos="360"/>
          <w:tab w:val="clear" w:pos="1267"/>
          <w:tab w:val="num" w:pos="1260"/>
        </w:tabs>
      </w:pPr>
      <w:r w:rsidRPr="00420EEA">
        <w:rPr>
          <w:rFonts w:cs="Arial"/>
          <w:bCs/>
          <w:szCs w:val="22"/>
        </w:rPr>
        <w:t>P Card – Purchasing credit</w:t>
      </w:r>
      <w:r>
        <w:rPr>
          <w:rFonts w:cs="Arial"/>
          <w:bCs/>
          <w:szCs w:val="22"/>
        </w:rPr>
        <w:t xml:space="preserve"> card</w:t>
      </w:r>
    </w:p>
    <w:p w14:paraId="44014509" w14:textId="007D1F90" w:rsidR="00CA220E" w:rsidRPr="00CA220E" w:rsidRDefault="00CA220E" w:rsidP="00D724B6">
      <w:pPr>
        <w:pStyle w:val="kj03123"/>
        <w:tabs>
          <w:tab w:val="clear" w:pos="360"/>
          <w:tab w:val="clear" w:pos="1267"/>
          <w:tab w:val="num" w:pos="1260"/>
        </w:tabs>
      </w:pPr>
      <w:r w:rsidRPr="00420EEA">
        <w:rPr>
          <w:rFonts w:cs="Arial"/>
          <w:bCs/>
          <w:szCs w:val="22"/>
        </w:rPr>
        <w:t>PAR – Preventive Action</w:t>
      </w:r>
      <w:r>
        <w:rPr>
          <w:rFonts w:cs="Arial"/>
          <w:bCs/>
          <w:szCs w:val="22"/>
        </w:rPr>
        <w:t xml:space="preserve"> Request</w:t>
      </w:r>
    </w:p>
    <w:p w14:paraId="6FBC5F64" w14:textId="06BC69F3" w:rsidR="00CA220E" w:rsidRPr="003150F6" w:rsidRDefault="003150F6" w:rsidP="00D724B6">
      <w:pPr>
        <w:pStyle w:val="kj03123"/>
        <w:tabs>
          <w:tab w:val="clear" w:pos="360"/>
          <w:tab w:val="clear" w:pos="1267"/>
          <w:tab w:val="num" w:pos="1260"/>
        </w:tabs>
      </w:pPr>
      <w:r w:rsidRPr="00420EEA">
        <w:rPr>
          <w:rFonts w:cs="Arial"/>
          <w:bCs/>
          <w:szCs w:val="22"/>
        </w:rPr>
        <w:t>PCA – Product Configuration</w:t>
      </w:r>
      <w:r>
        <w:rPr>
          <w:rFonts w:cs="Arial"/>
          <w:bCs/>
          <w:szCs w:val="22"/>
        </w:rPr>
        <w:t xml:space="preserve"> Audit</w:t>
      </w:r>
    </w:p>
    <w:p w14:paraId="0032FE41" w14:textId="39E65B8F" w:rsidR="003150F6" w:rsidRPr="003150F6" w:rsidRDefault="003150F6" w:rsidP="00D724B6">
      <w:pPr>
        <w:pStyle w:val="kj03123"/>
        <w:tabs>
          <w:tab w:val="clear" w:pos="360"/>
          <w:tab w:val="clear" w:pos="1267"/>
          <w:tab w:val="num" w:pos="1260"/>
        </w:tabs>
      </w:pPr>
      <w:r w:rsidRPr="00420EEA">
        <w:rPr>
          <w:rFonts w:cs="Arial"/>
          <w:bCs/>
          <w:szCs w:val="22"/>
        </w:rPr>
        <w:t>PC&amp;P – Petro Chemical &amp;</w:t>
      </w:r>
      <w:r>
        <w:rPr>
          <w:rFonts w:cs="Arial"/>
          <w:bCs/>
          <w:szCs w:val="22"/>
        </w:rPr>
        <w:t xml:space="preserve"> Power</w:t>
      </w:r>
    </w:p>
    <w:p w14:paraId="7A5D67BB" w14:textId="2A4016B2" w:rsidR="003150F6" w:rsidRPr="003150F6" w:rsidRDefault="003150F6" w:rsidP="00D724B6">
      <w:pPr>
        <w:pStyle w:val="kj03123"/>
        <w:tabs>
          <w:tab w:val="clear" w:pos="360"/>
          <w:tab w:val="clear" w:pos="1267"/>
          <w:tab w:val="num" w:pos="1260"/>
        </w:tabs>
      </w:pPr>
      <w:r w:rsidRPr="00420EEA">
        <w:rPr>
          <w:rFonts w:cs="Arial"/>
          <w:bCs/>
          <w:szCs w:val="22"/>
        </w:rPr>
        <w:t>PDCA – Plan, Do, Check, Act problem solving discipline</w:t>
      </w:r>
    </w:p>
    <w:p w14:paraId="0D8267E7" w14:textId="2AACFAA8" w:rsidR="003150F6" w:rsidRPr="003150F6" w:rsidRDefault="003150F6" w:rsidP="00D724B6">
      <w:pPr>
        <w:pStyle w:val="kj03123"/>
        <w:tabs>
          <w:tab w:val="clear" w:pos="360"/>
          <w:tab w:val="clear" w:pos="1267"/>
          <w:tab w:val="num" w:pos="1260"/>
        </w:tabs>
      </w:pPr>
      <w:r w:rsidRPr="00420EEA">
        <w:rPr>
          <w:rFonts w:cs="Arial"/>
          <w:bCs/>
          <w:szCs w:val="22"/>
        </w:rPr>
        <w:t xml:space="preserve">PER </w:t>
      </w:r>
      <w:r w:rsidRPr="00415FDE">
        <w:rPr>
          <w:rFonts w:cs="Arial"/>
          <w:bCs/>
          <w:szCs w:val="22"/>
        </w:rPr>
        <w:t>– Process Engineering</w:t>
      </w:r>
      <w:r>
        <w:rPr>
          <w:rFonts w:cs="Arial"/>
          <w:bCs/>
          <w:szCs w:val="22"/>
        </w:rPr>
        <w:t xml:space="preserve"> Request</w:t>
      </w:r>
    </w:p>
    <w:p w14:paraId="561CF906" w14:textId="5E5EBF11" w:rsidR="003150F6" w:rsidRPr="00587B18" w:rsidRDefault="00587B18" w:rsidP="00D724B6">
      <w:pPr>
        <w:pStyle w:val="kj03123"/>
        <w:tabs>
          <w:tab w:val="clear" w:pos="360"/>
          <w:tab w:val="clear" w:pos="1267"/>
          <w:tab w:val="num" w:pos="1260"/>
        </w:tabs>
      </w:pPr>
      <w:r w:rsidRPr="00420EEA">
        <w:rPr>
          <w:rFonts w:cs="Arial"/>
          <w:bCs/>
          <w:szCs w:val="22"/>
        </w:rPr>
        <w:t>PFD – Process Flow</w:t>
      </w:r>
      <w:r>
        <w:rPr>
          <w:rFonts w:cs="Arial"/>
          <w:bCs/>
          <w:szCs w:val="22"/>
        </w:rPr>
        <w:t xml:space="preserve"> Diagram</w:t>
      </w:r>
    </w:p>
    <w:p w14:paraId="484F8C2C" w14:textId="25C1EE68" w:rsidR="00587B18" w:rsidRPr="00587B18" w:rsidRDefault="00587B18" w:rsidP="00D724B6">
      <w:pPr>
        <w:pStyle w:val="kj03123"/>
        <w:tabs>
          <w:tab w:val="clear" w:pos="360"/>
          <w:tab w:val="clear" w:pos="1267"/>
          <w:tab w:val="num" w:pos="1260"/>
        </w:tabs>
      </w:pPr>
      <w:r w:rsidRPr="00420EEA">
        <w:rPr>
          <w:rFonts w:cs="Arial"/>
          <w:bCs/>
          <w:szCs w:val="22"/>
        </w:rPr>
        <w:t>PFMEA – Process Failure Modes &amp; Effects Analy</w:t>
      </w:r>
      <w:r>
        <w:rPr>
          <w:rFonts w:cs="Arial"/>
          <w:bCs/>
          <w:szCs w:val="22"/>
        </w:rPr>
        <w:t>sis</w:t>
      </w:r>
    </w:p>
    <w:p w14:paraId="105A3D08" w14:textId="5F0AF592" w:rsidR="00587B18" w:rsidRPr="00587B18" w:rsidRDefault="00587B18" w:rsidP="00D724B6">
      <w:pPr>
        <w:pStyle w:val="kj03123"/>
        <w:tabs>
          <w:tab w:val="clear" w:pos="360"/>
          <w:tab w:val="clear" w:pos="1267"/>
          <w:tab w:val="num" w:pos="1260"/>
        </w:tabs>
      </w:pPr>
      <w:r w:rsidRPr="00420EEA">
        <w:rPr>
          <w:rFonts w:cs="Arial"/>
          <w:bCs/>
          <w:szCs w:val="22"/>
        </w:rPr>
        <w:t>PM – Preventative Maintenan</w:t>
      </w:r>
      <w:r>
        <w:rPr>
          <w:rFonts w:cs="Arial"/>
          <w:bCs/>
          <w:szCs w:val="22"/>
        </w:rPr>
        <w:t>ce</w:t>
      </w:r>
    </w:p>
    <w:p w14:paraId="2278A622" w14:textId="691EACBE" w:rsidR="00587B18" w:rsidRPr="00587B18" w:rsidRDefault="00587B18" w:rsidP="00D724B6">
      <w:pPr>
        <w:pStyle w:val="kj03123"/>
        <w:tabs>
          <w:tab w:val="clear" w:pos="360"/>
          <w:tab w:val="clear" w:pos="1267"/>
          <w:tab w:val="num" w:pos="1260"/>
        </w:tabs>
      </w:pPr>
      <w:r w:rsidRPr="00420EEA">
        <w:rPr>
          <w:rFonts w:cs="Arial"/>
          <w:bCs/>
          <w:szCs w:val="22"/>
        </w:rPr>
        <w:t>PNA – Part Number Add PO – Purchase</w:t>
      </w:r>
      <w:r>
        <w:rPr>
          <w:rFonts w:cs="Arial"/>
          <w:bCs/>
          <w:szCs w:val="22"/>
        </w:rPr>
        <w:t xml:space="preserve"> Order</w:t>
      </w:r>
    </w:p>
    <w:p w14:paraId="21C0742B" w14:textId="6054F255" w:rsidR="00587B18" w:rsidRDefault="00587B18" w:rsidP="00D724B6">
      <w:pPr>
        <w:pStyle w:val="kj03123"/>
        <w:tabs>
          <w:tab w:val="clear" w:pos="360"/>
          <w:tab w:val="clear" w:pos="1267"/>
          <w:tab w:val="num" w:pos="1260"/>
        </w:tabs>
      </w:pPr>
      <w:r w:rsidRPr="00420EEA">
        <w:rPr>
          <w:rFonts w:cs="Arial"/>
          <w:bCs/>
          <w:szCs w:val="22"/>
        </w:rPr>
        <w:t>Poka Yoke – Error proofing within a</w:t>
      </w:r>
      <w:r>
        <w:rPr>
          <w:rFonts w:cs="Arial"/>
          <w:bCs/>
          <w:szCs w:val="22"/>
        </w:rPr>
        <w:t xml:space="preserve"> process</w:t>
      </w:r>
    </w:p>
    <w:p w14:paraId="4058A998" w14:textId="77777777" w:rsidR="00587B18" w:rsidRDefault="001D5FBA" w:rsidP="00587B18">
      <w:hyperlink w:anchor="TableOfContents" w:history="1">
        <w:r w:rsidR="00587B18" w:rsidRPr="00066290">
          <w:rPr>
            <w:rStyle w:val="Hyperlink"/>
            <w:rFonts w:cs="Arial"/>
            <w:sz w:val="16"/>
            <w:szCs w:val="14"/>
          </w:rPr>
          <w:t>Return to Table of Contents</w:t>
        </w:r>
      </w:hyperlink>
      <w:r w:rsidR="00587B18">
        <w:br w:type="page"/>
      </w:r>
    </w:p>
    <w:p w14:paraId="163D4F91" w14:textId="6C521A80" w:rsidR="00E26FE2" w:rsidRPr="00EE0305" w:rsidRDefault="00EE0305" w:rsidP="00EE0305">
      <w:pPr>
        <w:pStyle w:val="kj03123"/>
        <w:tabs>
          <w:tab w:val="clear" w:pos="360"/>
          <w:tab w:val="clear" w:pos="1267"/>
          <w:tab w:val="num" w:pos="1260"/>
        </w:tabs>
      </w:pPr>
      <w:r w:rsidRPr="00420EEA">
        <w:rPr>
          <w:rFonts w:cs="Arial"/>
          <w:bCs/>
          <w:szCs w:val="22"/>
        </w:rPr>
        <w:t>POR – Process of</w:t>
      </w:r>
      <w:r>
        <w:rPr>
          <w:rFonts w:cs="Arial"/>
          <w:bCs/>
          <w:szCs w:val="22"/>
        </w:rPr>
        <w:t xml:space="preserve"> Record</w:t>
      </w:r>
    </w:p>
    <w:p w14:paraId="476703D6" w14:textId="70FA71AA" w:rsidR="00EE0305" w:rsidRPr="00EE0305" w:rsidRDefault="00EE0305" w:rsidP="00EE0305">
      <w:pPr>
        <w:pStyle w:val="kj03123"/>
        <w:tabs>
          <w:tab w:val="clear" w:pos="360"/>
          <w:tab w:val="clear" w:pos="1267"/>
          <w:tab w:val="num" w:pos="1260"/>
        </w:tabs>
      </w:pPr>
      <w:r w:rsidRPr="00420EEA">
        <w:rPr>
          <w:rFonts w:cs="Arial"/>
          <w:bCs/>
          <w:szCs w:val="22"/>
        </w:rPr>
        <w:t>PPAP – Production Part Approval</w:t>
      </w:r>
      <w:r>
        <w:rPr>
          <w:rFonts w:cs="Arial"/>
          <w:bCs/>
          <w:szCs w:val="22"/>
        </w:rPr>
        <w:t xml:space="preserve"> Process</w:t>
      </w:r>
    </w:p>
    <w:p w14:paraId="14EF9730" w14:textId="7A410D2E" w:rsidR="00EE0305" w:rsidRPr="00EE0305" w:rsidRDefault="00EE0305" w:rsidP="00EE0305">
      <w:pPr>
        <w:pStyle w:val="kj03123"/>
        <w:tabs>
          <w:tab w:val="clear" w:pos="360"/>
          <w:tab w:val="clear" w:pos="1267"/>
          <w:tab w:val="num" w:pos="1260"/>
        </w:tabs>
      </w:pPr>
      <w:r w:rsidRPr="00420EEA">
        <w:rPr>
          <w:rFonts w:cs="Arial"/>
          <w:bCs/>
          <w:szCs w:val="22"/>
        </w:rPr>
        <w:t>PQP – Process Qualification</w:t>
      </w:r>
      <w:r>
        <w:rPr>
          <w:rFonts w:cs="Arial"/>
          <w:bCs/>
          <w:szCs w:val="22"/>
        </w:rPr>
        <w:t xml:space="preserve"> Program</w:t>
      </w:r>
    </w:p>
    <w:p w14:paraId="1C978434" w14:textId="24824183" w:rsidR="00EE0305" w:rsidRPr="00E00DFD" w:rsidRDefault="00E00DFD" w:rsidP="00EE0305">
      <w:pPr>
        <w:pStyle w:val="kj03123"/>
        <w:tabs>
          <w:tab w:val="clear" w:pos="360"/>
          <w:tab w:val="clear" w:pos="1267"/>
          <w:tab w:val="num" w:pos="1260"/>
        </w:tabs>
      </w:pPr>
      <w:r w:rsidRPr="00420EEA">
        <w:rPr>
          <w:rFonts w:cs="Arial"/>
          <w:bCs/>
          <w:szCs w:val="22"/>
        </w:rPr>
        <w:t>PSW – Part Submission</w:t>
      </w:r>
      <w:r>
        <w:rPr>
          <w:rFonts w:cs="Arial"/>
          <w:bCs/>
          <w:szCs w:val="22"/>
        </w:rPr>
        <w:t xml:space="preserve"> Warrant</w:t>
      </w:r>
    </w:p>
    <w:p w14:paraId="1A54524F" w14:textId="3CB46C8D" w:rsidR="00E00DFD" w:rsidRPr="00E00DFD" w:rsidRDefault="00E00DFD" w:rsidP="00EE0305">
      <w:pPr>
        <w:pStyle w:val="kj03123"/>
        <w:tabs>
          <w:tab w:val="clear" w:pos="360"/>
          <w:tab w:val="clear" w:pos="1267"/>
          <w:tab w:val="num" w:pos="1260"/>
        </w:tabs>
      </w:pPr>
      <w:r w:rsidRPr="00420EEA">
        <w:rPr>
          <w:rFonts w:cs="Arial"/>
          <w:bCs/>
          <w:szCs w:val="22"/>
        </w:rPr>
        <w:t>QA – Quality</w:t>
      </w:r>
      <w:r>
        <w:rPr>
          <w:rFonts w:cs="Arial"/>
          <w:bCs/>
          <w:szCs w:val="22"/>
        </w:rPr>
        <w:t xml:space="preserve"> Assurance</w:t>
      </w:r>
    </w:p>
    <w:p w14:paraId="72113DDD" w14:textId="76820A4B" w:rsidR="00E00DFD" w:rsidRPr="00E00DFD" w:rsidRDefault="00E00DFD" w:rsidP="00EE0305">
      <w:pPr>
        <w:pStyle w:val="kj03123"/>
        <w:tabs>
          <w:tab w:val="clear" w:pos="360"/>
          <w:tab w:val="clear" w:pos="1267"/>
          <w:tab w:val="num" w:pos="1260"/>
        </w:tabs>
      </w:pPr>
      <w:r w:rsidRPr="00420EEA">
        <w:rPr>
          <w:rFonts w:cs="Arial"/>
          <w:bCs/>
          <w:szCs w:val="22"/>
        </w:rPr>
        <w:t>QC – Quality</w:t>
      </w:r>
      <w:r>
        <w:rPr>
          <w:rFonts w:cs="Arial"/>
          <w:bCs/>
          <w:szCs w:val="22"/>
        </w:rPr>
        <w:t xml:space="preserve"> Control</w:t>
      </w:r>
    </w:p>
    <w:p w14:paraId="0B8ADDBD" w14:textId="7651BBF7" w:rsidR="00E00DFD" w:rsidRPr="005814A3" w:rsidRDefault="005814A3" w:rsidP="00EE0305">
      <w:pPr>
        <w:pStyle w:val="kj03123"/>
        <w:tabs>
          <w:tab w:val="clear" w:pos="360"/>
          <w:tab w:val="clear" w:pos="1267"/>
          <w:tab w:val="num" w:pos="1260"/>
        </w:tabs>
      </w:pPr>
      <w:r w:rsidRPr="00420EEA">
        <w:rPr>
          <w:rFonts w:cs="Arial"/>
          <w:bCs/>
          <w:szCs w:val="22"/>
        </w:rPr>
        <w:t>QFD – Quality Function Deployment which is a Design for Six Sigma technique for syncing customer needs with product design and manufacturing capability (also called ‘House of Quality’</w:t>
      </w:r>
      <w:r>
        <w:rPr>
          <w:rFonts w:cs="Arial"/>
          <w:bCs/>
          <w:szCs w:val="22"/>
        </w:rPr>
        <w:t>)</w:t>
      </w:r>
    </w:p>
    <w:p w14:paraId="27A473A1" w14:textId="2B728CB6" w:rsidR="005814A3" w:rsidRPr="005814A3" w:rsidRDefault="005814A3" w:rsidP="00EE0305">
      <w:pPr>
        <w:pStyle w:val="kj03123"/>
        <w:tabs>
          <w:tab w:val="clear" w:pos="360"/>
          <w:tab w:val="clear" w:pos="1267"/>
          <w:tab w:val="num" w:pos="1260"/>
        </w:tabs>
      </w:pPr>
      <w:r w:rsidRPr="00420EEA">
        <w:rPr>
          <w:rFonts w:cs="Arial"/>
          <w:bCs/>
          <w:szCs w:val="22"/>
        </w:rPr>
        <w:t>QML – Qualified Manufacturers</w:t>
      </w:r>
      <w:r>
        <w:rPr>
          <w:rFonts w:cs="Arial"/>
          <w:bCs/>
          <w:szCs w:val="22"/>
        </w:rPr>
        <w:t xml:space="preserve"> List</w:t>
      </w:r>
    </w:p>
    <w:p w14:paraId="0AE50EA5" w14:textId="57489F1F" w:rsidR="005814A3" w:rsidRPr="005814A3" w:rsidRDefault="005814A3" w:rsidP="00EE0305">
      <w:pPr>
        <w:pStyle w:val="kj03123"/>
        <w:tabs>
          <w:tab w:val="clear" w:pos="360"/>
          <w:tab w:val="clear" w:pos="1267"/>
          <w:tab w:val="num" w:pos="1260"/>
        </w:tabs>
      </w:pPr>
      <w:r w:rsidRPr="00420EEA">
        <w:rPr>
          <w:rFonts w:cs="Arial"/>
          <w:bCs/>
          <w:szCs w:val="22"/>
        </w:rPr>
        <w:t>QMS – Quality Management</w:t>
      </w:r>
      <w:r>
        <w:rPr>
          <w:rFonts w:cs="Arial"/>
          <w:bCs/>
          <w:szCs w:val="22"/>
        </w:rPr>
        <w:t xml:space="preserve"> System</w:t>
      </w:r>
    </w:p>
    <w:p w14:paraId="5211F592" w14:textId="0DFAB4C5" w:rsidR="005814A3" w:rsidRPr="005814A3" w:rsidRDefault="005814A3" w:rsidP="00EE0305">
      <w:pPr>
        <w:pStyle w:val="kj03123"/>
        <w:tabs>
          <w:tab w:val="clear" w:pos="360"/>
          <w:tab w:val="clear" w:pos="1267"/>
          <w:tab w:val="num" w:pos="1260"/>
        </w:tabs>
      </w:pPr>
      <w:r w:rsidRPr="00420EEA">
        <w:rPr>
          <w:rFonts w:cs="Arial"/>
          <w:bCs/>
          <w:szCs w:val="22"/>
        </w:rPr>
        <w:t>QN – Quality</w:t>
      </w:r>
      <w:r>
        <w:rPr>
          <w:rFonts w:cs="Arial"/>
          <w:bCs/>
          <w:szCs w:val="22"/>
        </w:rPr>
        <w:t xml:space="preserve"> Notification</w:t>
      </w:r>
    </w:p>
    <w:p w14:paraId="1BFAF0A2" w14:textId="3FE185EE" w:rsidR="005814A3" w:rsidRPr="005814A3" w:rsidRDefault="005814A3" w:rsidP="00EE0305">
      <w:pPr>
        <w:pStyle w:val="kj03123"/>
        <w:tabs>
          <w:tab w:val="clear" w:pos="360"/>
          <w:tab w:val="clear" w:pos="1267"/>
          <w:tab w:val="num" w:pos="1260"/>
        </w:tabs>
      </w:pPr>
      <w:r w:rsidRPr="00420EEA">
        <w:rPr>
          <w:rFonts w:cs="Arial"/>
          <w:bCs/>
          <w:szCs w:val="22"/>
        </w:rPr>
        <w:t>RACI – Responsibility Assignment Matrix (Responsible, Accountable, Consulted, Informed</w:t>
      </w:r>
      <w:r>
        <w:rPr>
          <w:rFonts w:cs="Arial"/>
          <w:bCs/>
          <w:szCs w:val="22"/>
        </w:rPr>
        <w:t>)</w:t>
      </w:r>
    </w:p>
    <w:p w14:paraId="29451976" w14:textId="06D45C8F" w:rsidR="005814A3" w:rsidRPr="005814A3" w:rsidRDefault="005814A3" w:rsidP="00EE0305">
      <w:pPr>
        <w:pStyle w:val="kj03123"/>
        <w:tabs>
          <w:tab w:val="clear" w:pos="360"/>
          <w:tab w:val="clear" w:pos="1267"/>
          <w:tab w:val="num" w:pos="1260"/>
        </w:tabs>
      </w:pPr>
      <w:r w:rsidRPr="00420EEA">
        <w:rPr>
          <w:rFonts w:cs="Arial"/>
          <w:bCs/>
          <w:szCs w:val="22"/>
        </w:rPr>
        <w:t>RBA – Responsible Business</w:t>
      </w:r>
      <w:r>
        <w:rPr>
          <w:rFonts w:cs="Arial"/>
          <w:bCs/>
          <w:szCs w:val="22"/>
        </w:rPr>
        <w:t xml:space="preserve"> Alliance</w:t>
      </w:r>
    </w:p>
    <w:p w14:paraId="519B2E8D" w14:textId="6117E81D" w:rsidR="005814A3" w:rsidRPr="005814A3" w:rsidRDefault="005814A3" w:rsidP="00EE0305">
      <w:pPr>
        <w:pStyle w:val="kj03123"/>
        <w:tabs>
          <w:tab w:val="clear" w:pos="360"/>
          <w:tab w:val="clear" w:pos="1267"/>
          <w:tab w:val="num" w:pos="1260"/>
        </w:tabs>
      </w:pPr>
      <w:r w:rsidRPr="00420EEA">
        <w:rPr>
          <w:rFonts w:cs="Arial"/>
          <w:bCs/>
          <w:szCs w:val="22"/>
        </w:rPr>
        <w:t>REACH SVHC – European REACH regulation 1907/2006 ‘Substances of Very High Concern’, material reporting requirements for European</w:t>
      </w:r>
      <w:r>
        <w:rPr>
          <w:rFonts w:cs="Arial"/>
          <w:bCs/>
          <w:szCs w:val="22"/>
        </w:rPr>
        <w:t xml:space="preserve"> sales</w:t>
      </w:r>
    </w:p>
    <w:p w14:paraId="7A182C6B" w14:textId="0C7A8B19" w:rsidR="005814A3" w:rsidRPr="005814A3" w:rsidRDefault="005814A3" w:rsidP="00EE0305">
      <w:pPr>
        <w:pStyle w:val="kj03123"/>
        <w:tabs>
          <w:tab w:val="clear" w:pos="360"/>
          <w:tab w:val="clear" w:pos="1267"/>
          <w:tab w:val="num" w:pos="1260"/>
        </w:tabs>
      </w:pPr>
      <w:r w:rsidRPr="00420EEA">
        <w:rPr>
          <w:rFonts w:cs="Arial"/>
          <w:bCs/>
          <w:szCs w:val="22"/>
        </w:rPr>
        <w:t>REF – Reference Only D</w:t>
      </w:r>
      <w:r>
        <w:rPr>
          <w:rFonts w:cs="Arial"/>
          <w:bCs/>
          <w:szCs w:val="22"/>
        </w:rPr>
        <w:t>imension</w:t>
      </w:r>
    </w:p>
    <w:p w14:paraId="5C143EA7" w14:textId="7E75210A" w:rsidR="005814A3" w:rsidRPr="005814A3" w:rsidRDefault="002A6A1B" w:rsidP="00EE0305">
      <w:pPr>
        <w:pStyle w:val="kj03123"/>
        <w:tabs>
          <w:tab w:val="clear" w:pos="360"/>
          <w:tab w:val="clear" w:pos="1267"/>
          <w:tab w:val="num" w:pos="1260"/>
        </w:tabs>
      </w:pPr>
      <w:r w:rsidRPr="00420EEA">
        <w:rPr>
          <w:rFonts w:cs="Arial"/>
          <w:bCs/>
          <w:szCs w:val="22"/>
        </w:rPr>
        <w:t xml:space="preserve">RGA – </w:t>
      </w:r>
      <w:r w:rsidR="005814A3" w:rsidRPr="00420EEA">
        <w:rPr>
          <w:rFonts w:cs="Arial"/>
          <w:bCs/>
          <w:szCs w:val="22"/>
        </w:rPr>
        <w:t>Returned Goods Authorization (also known as RMA</w:t>
      </w:r>
      <w:r w:rsidR="005814A3">
        <w:rPr>
          <w:rFonts w:cs="Arial"/>
          <w:bCs/>
          <w:szCs w:val="22"/>
        </w:rPr>
        <w:t>)</w:t>
      </w:r>
    </w:p>
    <w:p w14:paraId="7AC85AD9" w14:textId="6A2A8522" w:rsidR="005814A3" w:rsidRPr="002A6A1B" w:rsidRDefault="002A6A1B" w:rsidP="00EE0305">
      <w:pPr>
        <w:pStyle w:val="kj03123"/>
        <w:tabs>
          <w:tab w:val="clear" w:pos="360"/>
          <w:tab w:val="clear" w:pos="1267"/>
          <w:tab w:val="num" w:pos="1260"/>
        </w:tabs>
      </w:pPr>
      <w:r w:rsidRPr="00420EEA">
        <w:rPr>
          <w:rFonts w:cs="Arial"/>
          <w:bCs/>
          <w:szCs w:val="22"/>
        </w:rPr>
        <w:t>RGD – Rapid Gas</w:t>
      </w:r>
      <w:r>
        <w:rPr>
          <w:rFonts w:cs="Arial"/>
          <w:bCs/>
          <w:szCs w:val="22"/>
        </w:rPr>
        <w:t xml:space="preserve"> Decompression</w:t>
      </w:r>
    </w:p>
    <w:p w14:paraId="1B28BAA4" w14:textId="4CC61135" w:rsidR="002A6A1B" w:rsidRPr="002A6A1B" w:rsidRDefault="002A6A1B" w:rsidP="00EE0305">
      <w:pPr>
        <w:pStyle w:val="kj03123"/>
        <w:tabs>
          <w:tab w:val="clear" w:pos="360"/>
          <w:tab w:val="clear" w:pos="1267"/>
          <w:tab w:val="num" w:pos="1260"/>
        </w:tabs>
      </w:pPr>
      <w:r w:rsidRPr="00420EEA">
        <w:rPr>
          <w:rFonts w:cs="Arial"/>
          <w:bCs/>
          <w:szCs w:val="22"/>
        </w:rPr>
        <w:t>RFQ – Request for</w:t>
      </w:r>
      <w:r>
        <w:rPr>
          <w:rFonts w:cs="Arial"/>
          <w:bCs/>
          <w:szCs w:val="22"/>
        </w:rPr>
        <w:t xml:space="preserve"> Quote</w:t>
      </w:r>
    </w:p>
    <w:p w14:paraId="37C80E4A" w14:textId="1DA03D5E" w:rsidR="002A6A1B" w:rsidRPr="002A6A1B" w:rsidRDefault="002A6A1B" w:rsidP="00EE0305">
      <w:pPr>
        <w:pStyle w:val="kj03123"/>
        <w:tabs>
          <w:tab w:val="clear" w:pos="360"/>
          <w:tab w:val="clear" w:pos="1267"/>
          <w:tab w:val="num" w:pos="1260"/>
        </w:tabs>
      </w:pPr>
      <w:r w:rsidRPr="00420EEA">
        <w:rPr>
          <w:rFonts w:cs="Arial"/>
          <w:bCs/>
          <w:szCs w:val="22"/>
        </w:rPr>
        <w:t>RICE – Rubber Incremental Center of</w:t>
      </w:r>
      <w:r>
        <w:rPr>
          <w:rFonts w:cs="Arial"/>
          <w:bCs/>
          <w:szCs w:val="22"/>
        </w:rPr>
        <w:t xml:space="preserve"> Excellence</w:t>
      </w:r>
    </w:p>
    <w:p w14:paraId="02ADFD5C" w14:textId="41C9A674" w:rsidR="002A6A1B" w:rsidRPr="002A6A1B" w:rsidRDefault="002A6A1B" w:rsidP="00EE0305">
      <w:pPr>
        <w:pStyle w:val="kj03123"/>
        <w:tabs>
          <w:tab w:val="clear" w:pos="360"/>
          <w:tab w:val="clear" w:pos="1267"/>
          <w:tab w:val="num" w:pos="1260"/>
        </w:tabs>
      </w:pPr>
      <w:r w:rsidRPr="00420EEA">
        <w:rPr>
          <w:rFonts w:cs="Arial"/>
          <w:bCs/>
          <w:szCs w:val="22"/>
        </w:rPr>
        <w:t>RMA – Returned Material Authorization (also known as</w:t>
      </w:r>
      <w:r>
        <w:rPr>
          <w:rFonts w:cs="Arial"/>
          <w:bCs/>
          <w:szCs w:val="22"/>
        </w:rPr>
        <w:t>RGA)</w:t>
      </w:r>
    </w:p>
    <w:p w14:paraId="4FB217CF" w14:textId="4C76FD47" w:rsidR="002A6A1B" w:rsidRPr="00201F1B" w:rsidRDefault="00201F1B" w:rsidP="00EE0305">
      <w:pPr>
        <w:pStyle w:val="kj03123"/>
        <w:tabs>
          <w:tab w:val="clear" w:pos="360"/>
          <w:tab w:val="clear" w:pos="1267"/>
          <w:tab w:val="num" w:pos="1260"/>
        </w:tabs>
      </w:pPr>
      <w:r w:rsidRPr="00420EEA">
        <w:rPr>
          <w:rFonts w:cs="Arial"/>
          <w:bCs/>
          <w:szCs w:val="22"/>
        </w:rPr>
        <w:t>RoHS - European Commission Restriction of Hazardous Substances</w:t>
      </w:r>
      <w:r>
        <w:rPr>
          <w:rFonts w:cs="Arial"/>
          <w:bCs/>
          <w:szCs w:val="22"/>
        </w:rPr>
        <w:t xml:space="preserve"> directive</w:t>
      </w:r>
    </w:p>
    <w:p w14:paraId="14180A89" w14:textId="5638AAEA" w:rsidR="00201F1B" w:rsidRPr="00201F1B" w:rsidRDefault="00201F1B" w:rsidP="00EE0305">
      <w:pPr>
        <w:pStyle w:val="kj03123"/>
        <w:tabs>
          <w:tab w:val="clear" w:pos="360"/>
          <w:tab w:val="clear" w:pos="1267"/>
          <w:tab w:val="num" w:pos="1260"/>
        </w:tabs>
      </w:pPr>
      <w:r>
        <w:rPr>
          <w:rFonts w:cs="Arial"/>
          <w:bCs/>
          <w:szCs w:val="22"/>
        </w:rPr>
        <w:t>S</w:t>
      </w:r>
      <w:r w:rsidRPr="00420EEA">
        <w:rPr>
          <w:rFonts w:cs="Arial"/>
          <w:bCs/>
          <w:szCs w:val="22"/>
        </w:rPr>
        <w:t>&amp;OP – Sales &amp; Operations</w:t>
      </w:r>
      <w:r>
        <w:rPr>
          <w:rFonts w:cs="Arial"/>
          <w:bCs/>
          <w:szCs w:val="22"/>
        </w:rPr>
        <w:t xml:space="preserve"> Planning</w:t>
      </w:r>
    </w:p>
    <w:p w14:paraId="4AF5E400" w14:textId="52ABDEB2" w:rsidR="00201F1B" w:rsidRPr="00201F1B" w:rsidRDefault="00201F1B" w:rsidP="00EE0305">
      <w:pPr>
        <w:pStyle w:val="kj03123"/>
        <w:tabs>
          <w:tab w:val="clear" w:pos="360"/>
          <w:tab w:val="clear" w:pos="1267"/>
          <w:tab w:val="num" w:pos="1260"/>
        </w:tabs>
      </w:pPr>
      <w:r w:rsidRPr="00420EEA">
        <w:rPr>
          <w:rFonts w:cs="Arial"/>
          <w:bCs/>
          <w:szCs w:val="22"/>
        </w:rPr>
        <w:t>SAE – Society of Automotive Engineers (specification source</w:t>
      </w:r>
      <w:r>
        <w:rPr>
          <w:rFonts w:cs="Arial"/>
          <w:bCs/>
          <w:szCs w:val="22"/>
        </w:rPr>
        <w:t>)</w:t>
      </w:r>
    </w:p>
    <w:p w14:paraId="472560C8" w14:textId="63CA9516" w:rsidR="00201F1B" w:rsidRPr="00201F1B" w:rsidRDefault="00201F1B" w:rsidP="00EE0305">
      <w:pPr>
        <w:pStyle w:val="kj03123"/>
        <w:tabs>
          <w:tab w:val="clear" w:pos="360"/>
          <w:tab w:val="clear" w:pos="1267"/>
          <w:tab w:val="num" w:pos="1260"/>
        </w:tabs>
      </w:pPr>
      <w:r w:rsidRPr="00420EEA">
        <w:rPr>
          <w:rFonts w:cs="Arial"/>
          <w:bCs/>
          <w:szCs w:val="22"/>
        </w:rPr>
        <w:t>SAP – GT Business Management</w:t>
      </w:r>
      <w:r>
        <w:rPr>
          <w:rFonts w:cs="Arial"/>
          <w:bCs/>
          <w:szCs w:val="22"/>
        </w:rPr>
        <w:t xml:space="preserve"> Software</w:t>
      </w:r>
    </w:p>
    <w:p w14:paraId="6FC26F8F" w14:textId="26875ED5" w:rsidR="00201F1B" w:rsidRPr="00416E56" w:rsidRDefault="00416E56" w:rsidP="00EE0305">
      <w:pPr>
        <w:pStyle w:val="kj03123"/>
        <w:tabs>
          <w:tab w:val="clear" w:pos="360"/>
          <w:tab w:val="clear" w:pos="1267"/>
          <w:tab w:val="num" w:pos="1260"/>
        </w:tabs>
      </w:pPr>
      <w:r w:rsidRPr="00420EEA">
        <w:rPr>
          <w:rFonts w:cs="Arial"/>
          <w:bCs/>
          <w:szCs w:val="22"/>
        </w:rPr>
        <w:t>SARTS – Supplier Assessment &amp; Review of Technical</w:t>
      </w:r>
      <w:r>
        <w:rPr>
          <w:rFonts w:cs="Arial"/>
          <w:bCs/>
          <w:szCs w:val="22"/>
        </w:rPr>
        <w:t xml:space="preserve"> Specification</w:t>
      </w:r>
    </w:p>
    <w:p w14:paraId="6F3A980F" w14:textId="092D0181" w:rsidR="00416E56" w:rsidRPr="00416E56" w:rsidRDefault="00416E56" w:rsidP="00EE0305">
      <w:pPr>
        <w:pStyle w:val="kj03123"/>
        <w:tabs>
          <w:tab w:val="clear" w:pos="360"/>
          <w:tab w:val="clear" w:pos="1267"/>
          <w:tab w:val="num" w:pos="1260"/>
        </w:tabs>
      </w:pPr>
      <w:r w:rsidRPr="00420EEA">
        <w:rPr>
          <w:rFonts w:cs="Arial"/>
          <w:bCs/>
          <w:szCs w:val="22"/>
        </w:rPr>
        <w:t>SC – Supply</w:t>
      </w:r>
      <w:r>
        <w:rPr>
          <w:rFonts w:cs="Arial"/>
          <w:bCs/>
          <w:szCs w:val="22"/>
        </w:rPr>
        <w:t xml:space="preserve"> Chain</w:t>
      </w:r>
    </w:p>
    <w:p w14:paraId="61D4C53C" w14:textId="42DA90C3" w:rsidR="00416E56" w:rsidRPr="00416E56" w:rsidRDefault="00416E56" w:rsidP="00EE0305">
      <w:pPr>
        <w:pStyle w:val="kj03123"/>
        <w:tabs>
          <w:tab w:val="clear" w:pos="360"/>
          <w:tab w:val="clear" w:pos="1267"/>
          <w:tab w:val="num" w:pos="1260"/>
        </w:tabs>
      </w:pPr>
      <w:r w:rsidRPr="00420EEA">
        <w:rPr>
          <w:rFonts w:cs="Arial"/>
          <w:bCs/>
          <w:szCs w:val="22"/>
        </w:rPr>
        <w:t>SCS – Supply Chain Specialist, either a Procurement Specialist or Sourcing Specia</w:t>
      </w:r>
      <w:r>
        <w:rPr>
          <w:rFonts w:cs="Arial"/>
          <w:bCs/>
          <w:szCs w:val="22"/>
        </w:rPr>
        <w:t>list</w:t>
      </w:r>
    </w:p>
    <w:p w14:paraId="02541B65" w14:textId="09CCD2BB" w:rsidR="00416E56" w:rsidRPr="002B3FD8" w:rsidRDefault="002B3FD8" w:rsidP="00EE0305">
      <w:pPr>
        <w:pStyle w:val="kj03123"/>
        <w:tabs>
          <w:tab w:val="clear" w:pos="360"/>
          <w:tab w:val="clear" w:pos="1267"/>
          <w:tab w:val="num" w:pos="1260"/>
        </w:tabs>
      </w:pPr>
      <w:r w:rsidRPr="00420EEA">
        <w:rPr>
          <w:rFonts w:cs="Arial"/>
          <w:bCs/>
          <w:szCs w:val="22"/>
        </w:rPr>
        <w:t>SCM – Supply Chain Manage</w:t>
      </w:r>
      <w:r>
        <w:rPr>
          <w:rFonts w:cs="Arial"/>
          <w:bCs/>
          <w:szCs w:val="22"/>
        </w:rPr>
        <w:t>ment</w:t>
      </w:r>
    </w:p>
    <w:p w14:paraId="199AB771" w14:textId="4D0ACDD2" w:rsidR="002B3FD8" w:rsidRPr="002B3FD8" w:rsidRDefault="002B3FD8" w:rsidP="00EE0305">
      <w:pPr>
        <w:pStyle w:val="kj03123"/>
        <w:tabs>
          <w:tab w:val="clear" w:pos="360"/>
          <w:tab w:val="clear" w:pos="1267"/>
          <w:tab w:val="num" w:pos="1260"/>
        </w:tabs>
      </w:pPr>
      <w:r w:rsidRPr="00420EEA">
        <w:rPr>
          <w:rFonts w:cs="Arial"/>
          <w:bCs/>
          <w:szCs w:val="22"/>
        </w:rPr>
        <w:t>SCAR – Supplier Corrective</w:t>
      </w:r>
      <w:r>
        <w:rPr>
          <w:rFonts w:cs="Arial"/>
          <w:bCs/>
          <w:szCs w:val="22"/>
        </w:rPr>
        <w:t xml:space="preserve"> Action</w:t>
      </w:r>
    </w:p>
    <w:p w14:paraId="7A8CE73D" w14:textId="2EE528BF" w:rsidR="002B3FD8" w:rsidRPr="00D32A13" w:rsidRDefault="00D32A13" w:rsidP="00EE0305">
      <w:pPr>
        <w:pStyle w:val="kj03123"/>
        <w:tabs>
          <w:tab w:val="clear" w:pos="360"/>
          <w:tab w:val="clear" w:pos="1267"/>
          <w:tab w:val="num" w:pos="1260"/>
        </w:tabs>
      </w:pPr>
      <w:r w:rsidRPr="00420EEA">
        <w:rPr>
          <w:rFonts w:cs="Arial"/>
          <w:bCs/>
          <w:szCs w:val="22"/>
        </w:rPr>
        <w:t>SCAT – Single Pin Connector Assembly</w:t>
      </w:r>
      <w:r>
        <w:rPr>
          <w:rFonts w:cs="Arial"/>
          <w:bCs/>
          <w:szCs w:val="22"/>
        </w:rPr>
        <w:t xml:space="preserve"> Team</w:t>
      </w:r>
    </w:p>
    <w:p w14:paraId="520A5147" w14:textId="515D852F" w:rsidR="00D32A13" w:rsidRPr="00D32A13" w:rsidRDefault="001F4B9D" w:rsidP="00EE0305">
      <w:pPr>
        <w:pStyle w:val="kj03123"/>
        <w:tabs>
          <w:tab w:val="clear" w:pos="360"/>
          <w:tab w:val="clear" w:pos="1267"/>
          <w:tab w:val="num" w:pos="1260"/>
        </w:tabs>
      </w:pPr>
      <w:r w:rsidRPr="00865577">
        <mc:AlternateContent>
          <mc:Choice Requires="wps">
            <w:drawing>
              <wp:anchor distT="45720" distB="45720" distL="114300" distR="114300" simplePos="0" relativeHeight="251715584" behindDoc="0" locked="0" layoutInCell="1" allowOverlap="1" wp14:anchorId="3638901D" wp14:editId="25FE9879">
                <wp:simplePos x="0" y="0"/>
                <wp:positionH relativeFrom="column">
                  <wp:posOffset>-380736</wp:posOffset>
                </wp:positionH>
                <wp:positionV relativeFrom="paragraph">
                  <wp:posOffset>182245</wp:posOffset>
                </wp:positionV>
                <wp:extent cx="365760" cy="1404620"/>
                <wp:effectExtent l="0" t="0" r="0" b="8890"/>
                <wp:wrapNone/>
                <wp:docPr id="16409890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404620"/>
                        </a:xfrm>
                        <a:prstGeom prst="rect">
                          <a:avLst/>
                        </a:prstGeom>
                        <a:solidFill>
                          <a:srgbClr val="FFFFFF"/>
                        </a:solidFill>
                        <a:ln w="9525">
                          <a:noFill/>
                          <a:miter lim="800000"/>
                          <a:headEnd/>
                          <a:tailEnd/>
                        </a:ln>
                      </wps:spPr>
                      <wps:txbx>
                        <w:txbxContent>
                          <w:p w14:paraId="781052E7" w14:textId="77777777" w:rsidR="001F4B9D" w:rsidRPr="006659B4" w:rsidRDefault="001F4B9D" w:rsidP="001F4B9D">
                            <w:pPr>
                              <w:tabs>
                                <w:tab w:val="left" w:pos="187"/>
                                <w:tab w:val="left" w:pos="547"/>
                                <w:tab w:val="left" w:pos="1267"/>
                                <w:tab w:val="left" w:pos="2160"/>
                                <w:tab w:val="left" w:pos="3240"/>
                                <w:tab w:val="left" w:pos="4320"/>
                                <w:tab w:val="left" w:pos="5760"/>
                                <w:tab w:val="left" w:pos="7387"/>
                              </w:tabs>
                              <w:jc w:val="right"/>
                              <w:rPr>
                                <w:rFonts w:cs="Arial"/>
                              </w:rPr>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38901D" id="_x0000_s1047" type="#_x0000_t202" style="position:absolute;left:0;text-align:left;margin-left:-30pt;margin-top:14.35pt;width:28.8pt;height:110.6pt;z-index:251715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EEVEgIAAP4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" stroked="f">
                <v:textbox style="mso-fit-shape-to-text:t">
                  <w:txbxContent>
                    <w:p w14:paraId="781052E7" w14:textId="77777777" w:rsidR="001F4B9D" w:rsidRPr="006659B4" w:rsidRDefault="001F4B9D" w:rsidP="001F4B9D">
                      <w:pPr>
                        <w:tabs>
                          <w:tab w:val="left" w:pos="187"/>
                          <w:tab w:val="left" w:pos="547"/>
                          <w:tab w:val="left" w:pos="1267"/>
                          <w:tab w:val="left" w:pos="2160"/>
                          <w:tab w:val="left" w:pos="3240"/>
                          <w:tab w:val="left" w:pos="4320"/>
                          <w:tab w:val="left" w:pos="5760"/>
                          <w:tab w:val="left" w:pos="7387"/>
                        </w:tabs>
                        <w:jc w:val="right"/>
                        <w:rPr>
                          <w:rFonts w:cs="Arial"/>
                        </w:rPr>
                      </w:pPr>
                      <w:r>
                        <w:t>|</w:t>
                      </w:r>
                    </w:p>
                  </w:txbxContent>
                </v:textbox>
              </v:shape>
            </w:pict>
          </mc:Fallback>
        </mc:AlternateContent>
      </w:r>
      <w:r w:rsidR="00D32A13" w:rsidRPr="00420EEA">
        <w:rPr>
          <w:rFonts w:cs="Arial"/>
          <w:bCs/>
          <w:szCs w:val="22"/>
        </w:rPr>
        <w:t>SDR – Supplier Deviation</w:t>
      </w:r>
      <w:r w:rsidR="00D32A13">
        <w:rPr>
          <w:rFonts w:cs="Arial"/>
          <w:bCs/>
          <w:szCs w:val="22"/>
        </w:rPr>
        <w:t xml:space="preserve"> Request</w:t>
      </w:r>
    </w:p>
    <w:p w14:paraId="0E355406" w14:textId="385288F9" w:rsidR="00D32A13" w:rsidRPr="00F308A9" w:rsidRDefault="00D32A13" w:rsidP="00EE0305">
      <w:pPr>
        <w:pStyle w:val="kj03123"/>
        <w:tabs>
          <w:tab w:val="clear" w:pos="360"/>
          <w:tab w:val="clear" w:pos="1267"/>
          <w:tab w:val="num" w:pos="1260"/>
        </w:tabs>
      </w:pPr>
      <w:r w:rsidRPr="00420EEA">
        <w:rPr>
          <w:rFonts w:cs="Arial"/>
          <w:bCs/>
          <w:szCs w:val="22"/>
        </w:rPr>
        <w:t>SDS – Safety Data Sheet (</w:t>
      </w:r>
      <w:r w:rsidRPr="001F4B9D">
        <w:rPr>
          <w:rFonts w:cs="Arial"/>
          <w:bCs/>
          <w:szCs w:val="22"/>
        </w:rPr>
        <w:t>formerly MSD</w:t>
      </w:r>
      <w:r w:rsidR="00F308A9" w:rsidRPr="001F4B9D">
        <w:rPr>
          <w:rFonts w:cs="Arial"/>
          <w:bCs/>
          <w:szCs w:val="22"/>
        </w:rPr>
        <w:t>S)</w:t>
      </w:r>
    </w:p>
    <w:p w14:paraId="422A36BA" w14:textId="609B04FA" w:rsidR="00F308A9" w:rsidRPr="00F308A9" w:rsidRDefault="00F308A9" w:rsidP="00EE0305">
      <w:pPr>
        <w:pStyle w:val="kj03123"/>
        <w:tabs>
          <w:tab w:val="clear" w:pos="360"/>
          <w:tab w:val="clear" w:pos="1267"/>
          <w:tab w:val="num" w:pos="1260"/>
        </w:tabs>
      </w:pPr>
      <w:r w:rsidRPr="00420EEA">
        <w:rPr>
          <w:rFonts w:cs="Arial"/>
          <w:bCs/>
          <w:szCs w:val="22"/>
        </w:rPr>
        <w:t>SEC – United States Securities and Exchange</w:t>
      </w:r>
      <w:r>
        <w:rPr>
          <w:rFonts w:cs="Arial"/>
          <w:bCs/>
          <w:szCs w:val="22"/>
        </w:rPr>
        <w:t xml:space="preserve"> Commision</w:t>
      </w:r>
    </w:p>
    <w:p w14:paraId="407DC4F3" w14:textId="78548280" w:rsidR="00F308A9" w:rsidRDefault="001A44AB" w:rsidP="00EE0305">
      <w:pPr>
        <w:pStyle w:val="kj03123"/>
        <w:tabs>
          <w:tab w:val="clear" w:pos="360"/>
          <w:tab w:val="clear" w:pos="1267"/>
          <w:tab w:val="num" w:pos="1260"/>
        </w:tabs>
      </w:pPr>
      <w:r w:rsidRPr="00420EEA">
        <w:rPr>
          <w:rFonts w:cs="Arial"/>
          <w:bCs/>
          <w:szCs w:val="22"/>
        </w:rPr>
        <w:t>SIPOC – Diagram to explain a process (Suppliers, Inputs, Process, Outputs, Customers</w:t>
      </w:r>
      <w:r>
        <w:rPr>
          <w:rFonts w:cs="Arial"/>
          <w:bCs/>
          <w:szCs w:val="22"/>
        </w:rPr>
        <w:t>)</w:t>
      </w:r>
    </w:p>
    <w:p w14:paraId="07A5A9C6" w14:textId="77777777" w:rsidR="001A44AB" w:rsidRDefault="001D5FBA" w:rsidP="001A44AB">
      <w:hyperlink w:anchor="TableOfContents" w:history="1">
        <w:r w:rsidR="001A44AB" w:rsidRPr="00066290">
          <w:rPr>
            <w:rStyle w:val="Hyperlink"/>
            <w:rFonts w:cs="Arial"/>
            <w:sz w:val="16"/>
            <w:szCs w:val="14"/>
          </w:rPr>
          <w:t>Return to Table of Contents</w:t>
        </w:r>
      </w:hyperlink>
      <w:r w:rsidR="001A44AB">
        <w:br w:type="page"/>
      </w:r>
    </w:p>
    <w:p w14:paraId="3CEE8BE2" w14:textId="0A1BAB60" w:rsidR="00E26FE2" w:rsidRPr="0013082F" w:rsidRDefault="0013082F" w:rsidP="0013082F">
      <w:pPr>
        <w:pStyle w:val="kj03123"/>
        <w:tabs>
          <w:tab w:val="clear" w:pos="360"/>
          <w:tab w:val="clear" w:pos="1267"/>
          <w:tab w:val="num" w:pos="1260"/>
        </w:tabs>
      </w:pPr>
      <w:r w:rsidRPr="00420EEA">
        <w:rPr>
          <w:rFonts w:cs="Arial"/>
          <w:bCs/>
          <w:szCs w:val="22"/>
        </w:rPr>
        <w:t>SMED – Single Minute Exchange of Dies, concept for reducing set up</w:t>
      </w:r>
      <w:r>
        <w:rPr>
          <w:rFonts w:cs="Arial"/>
          <w:bCs/>
          <w:szCs w:val="22"/>
        </w:rPr>
        <w:t xml:space="preserve"> time</w:t>
      </w:r>
    </w:p>
    <w:p w14:paraId="6A811720" w14:textId="66233DDF" w:rsidR="0013082F" w:rsidRPr="0013082F" w:rsidRDefault="0013082F" w:rsidP="0013082F">
      <w:pPr>
        <w:pStyle w:val="kj03123"/>
        <w:tabs>
          <w:tab w:val="clear" w:pos="360"/>
          <w:tab w:val="clear" w:pos="1267"/>
          <w:tab w:val="num" w:pos="1260"/>
        </w:tabs>
      </w:pPr>
      <w:r w:rsidRPr="00420EEA">
        <w:rPr>
          <w:rFonts w:cs="Arial"/>
          <w:bCs/>
          <w:szCs w:val="22"/>
        </w:rPr>
        <w:t>SOP – Standard Operating Proced</w:t>
      </w:r>
      <w:r>
        <w:rPr>
          <w:rFonts w:cs="Arial"/>
          <w:bCs/>
          <w:szCs w:val="22"/>
        </w:rPr>
        <w:t>ure</w:t>
      </w:r>
    </w:p>
    <w:p w14:paraId="15AAA920" w14:textId="0EFDEBB4" w:rsidR="0013082F" w:rsidRPr="00C53EEF" w:rsidRDefault="00C53EEF" w:rsidP="0013082F">
      <w:pPr>
        <w:pStyle w:val="kj03123"/>
        <w:tabs>
          <w:tab w:val="clear" w:pos="360"/>
          <w:tab w:val="clear" w:pos="1267"/>
          <w:tab w:val="num" w:pos="1260"/>
        </w:tabs>
      </w:pPr>
      <w:r w:rsidRPr="00420EEA">
        <w:rPr>
          <w:rFonts w:cs="Arial"/>
          <w:bCs/>
          <w:szCs w:val="22"/>
        </w:rPr>
        <w:t>SPC – Statistical Process</w:t>
      </w:r>
      <w:r>
        <w:rPr>
          <w:rFonts w:cs="Arial"/>
          <w:bCs/>
          <w:szCs w:val="22"/>
        </w:rPr>
        <w:t xml:space="preserve"> Control</w:t>
      </w:r>
    </w:p>
    <w:p w14:paraId="6D1BB3E5" w14:textId="05BDD1F9" w:rsidR="00C53EEF" w:rsidRPr="00C53EEF" w:rsidRDefault="0039398F" w:rsidP="0013082F">
      <w:pPr>
        <w:pStyle w:val="kj03123"/>
        <w:tabs>
          <w:tab w:val="clear" w:pos="360"/>
          <w:tab w:val="clear" w:pos="1267"/>
          <w:tab w:val="num" w:pos="1260"/>
        </w:tabs>
      </w:pPr>
      <w:r w:rsidRPr="00865577">
        <mc:AlternateContent>
          <mc:Choice Requires="wps">
            <w:drawing>
              <wp:anchor distT="45720" distB="45720" distL="114300" distR="114300" simplePos="0" relativeHeight="251717632" behindDoc="0" locked="0" layoutInCell="1" allowOverlap="1" wp14:anchorId="32741AF1" wp14:editId="14D65B13">
                <wp:simplePos x="0" y="0"/>
                <wp:positionH relativeFrom="column">
                  <wp:posOffset>-382641</wp:posOffset>
                </wp:positionH>
                <wp:positionV relativeFrom="paragraph">
                  <wp:posOffset>502920</wp:posOffset>
                </wp:positionV>
                <wp:extent cx="365760" cy="1404620"/>
                <wp:effectExtent l="0" t="0" r="0" b="8890"/>
                <wp:wrapNone/>
                <wp:docPr id="420999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404620"/>
                        </a:xfrm>
                        <a:prstGeom prst="rect">
                          <a:avLst/>
                        </a:prstGeom>
                        <a:solidFill>
                          <a:srgbClr val="FFFFFF"/>
                        </a:solidFill>
                        <a:ln w="9525">
                          <a:noFill/>
                          <a:miter lim="800000"/>
                          <a:headEnd/>
                          <a:tailEnd/>
                        </a:ln>
                      </wps:spPr>
                      <wps:txbx>
                        <w:txbxContent>
                          <w:p w14:paraId="537F7AF2" w14:textId="77777777" w:rsidR="0039398F" w:rsidRPr="006659B4" w:rsidRDefault="0039398F" w:rsidP="0039398F">
                            <w:pPr>
                              <w:tabs>
                                <w:tab w:val="left" w:pos="187"/>
                                <w:tab w:val="left" w:pos="547"/>
                                <w:tab w:val="left" w:pos="1267"/>
                                <w:tab w:val="left" w:pos="2160"/>
                                <w:tab w:val="left" w:pos="3240"/>
                                <w:tab w:val="left" w:pos="4320"/>
                                <w:tab w:val="left" w:pos="5760"/>
                                <w:tab w:val="left" w:pos="7387"/>
                              </w:tabs>
                              <w:jc w:val="right"/>
                              <w:rPr>
                                <w:rFonts w:cs="Arial"/>
                              </w:rPr>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741AF1" id="_x0000_s1048" type="#_x0000_t202" style="position:absolute;left:0;text-align:left;margin-left:-30.15pt;margin-top:39.6pt;width:28.8pt;height:110.6pt;z-index:251717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oPUEwIAAP4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" stroked="f">
                <v:textbox style="mso-fit-shape-to-text:t">
                  <w:txbxContent>
                    <w:p w14:paraId="537F7AF2" w14:textId="77777777" w:rsidR="0039398F" w:rsidRPr="006659B4" w:rsidRDefault="0039398F" w:rsidP="0039398F">
                      <w:pPr>
                        <w:tabs>
                          <w:tab w:val="left" w:pos="187"/>
                          <w:tab w:val="left" w:pos="547"/>
                          <w:tab w:val="left" w:pos="1267"/>
                          <w:tab w:val="left" w:pos="2160"/>
                          <w:tab w:val="left" w:pos="3240"/>
                          <w:tab w:val="left" w:pos="4320"/>
                          <w:tab w:val="left" w:pos="5760"/>
                          <w:tab w:val="left" w:pos="7387"/>
                        </w:tabs>
                        <w:jc w:val="right"/>
                        <w:rPr>
                          <w:rFonts w:cs="Arial"/>
                        </w:rPr>
                      </w:pPr>
                      <w:r>
                        <w:t>|</w:t>
                      </w:r>
                    </w:p>
                  </w:txbxContent>
                </v:textbox>
              </v:shape>
            </w:pict>
          </mc:Fallback>
        </mc:AlternateContent>
      </w:r>
      <w:r w:rsidR="00C53EEF" w:rsidRPr="00420EEA">
        <w:rPr>
          <w:rFonts w:cs="Arial"/>
          <w:bCs/>
          <w:szCs w:val="22"/>
        </w:rPr>
        <w:t>Special Processes – A production process where the output is unable to be measured, monitored, or verified until after the resulting product has been used (surface treatment, plating, welding). Process is verified by certifying the process parameters</w:t>
      </w:r>
      <w:r w:rsidR="00C53EEF">
        <w:rPr>
          <w:rFonts w:cs="Arial"/>
          <w:bCs/>
          <w:szCs w:val="22"/>
        </w:rPr>
        <w:t>.</w:t>
      </w:r>
    </w:p>
    <w:p w14:paraId="00F3A4C8" w14:textId="2C1A3DB3" w:rsidR="00C53EEF" w:rsidRPr="00C53EEF" w:rsidRDefault="00C53EEF" w:rsidP="0013082F">
      <w:pPr>
        <w:pStyle w:val="kj03123"/>
        <w:tabs>
          <w:tab w:val="clear" w:pos="360"/>
          <w:tab w:val="clear" w:pos="1267"/>
          <w:tab w:val="num" w:pos="1260"/>
        </w:tabs>
      </w:pPr>
      <w:r w:rsidRPr="0039398F">
        <w:rPr>
          <w:rFonts w:cs="Arial"/>
          <w:bCs/>
          <w:szCs w:val="22"/>
        </w:rPr>
        <w:t>SQE</w:t>
      </w:r>
      <w:r w:rsidRPr="00420EEA">
        <w:rPr>
          <w:rFonts w:cs="Arial"/>
          <w:bCs/>
          <w:szCs w:val="22"/>
        </w:rPr>
        <w:t xml:space="preserve"> – Supply Chain Quality</w:t>
      </w:r>
      <w:r>
        <w:rPr>
          <w:rFonts w:cs="Arial"/>
          <w:bCs/>
          <w:szCs w:val="22"/>
        </w:rPr>
        <w:t xml:space="preserve"> Engineer</w:t>
      </w:r>
      <w:r w:rsidR="0039398F">
        <w:rPr>
          <w:rFonts w:cs="Arial"/>
          <w:bCs/>
          <w:szCs w:val="22"/>
        </w:rPr>
        <w:t xml:space="preserve"> (now VE)</w:t>
      </w:r>
    </w:p>
    <w:p w14:paraId="35D27E56" w14:textId="7CBAACB4" w:rsidR="00C53EEF" w:rsidRPr="00C53EEF" w:rsidRDefault="00C53EEF" w:rsidP="0013082F">
      <w:pPr>
        <w:pStyle w:val="kj03123"/>
        <w:tabs>
          <w:tab w:val="clear" w:pos="360"/>
          <w:tab w:val="clear" w:pos="1267"/>
          <w:tab w:val="num" w:pos="1260"/>
        </w:tabs>
      </w:pPr>
      <w:r w:rsidRPr="00420EEA">
        <w:rPr>
          <w:rFonts w:cs="Arial"/>
          <w:bCs/>
          <w:szCs w:val="22"/>
        </w:rPr>
        <w:t>SRC – Site Review</w:t>
      </w:r>
      <w:r>
        <w:rPr>
          <w:rFonts w:cs="Arial"/>
          <w:bCs/>
          <w:szCs w:val="22"/>
        </w:rPr>
        <w:t xml:space="preserve"> Committee</w:t>
      </w:r>
    </w:p>
    <w:p w14:paraId="7D2BC2F1" w14:textId="1A23DD15" w:rsidR="00C53EEF" w:rsidRPr="00C53EEF" w:rsidRDefault="00C53EEF" w:rsidP="0013082F">
      <w:pPr>
        <w:pStyle w:val="kj03123"/>
        <w:tabs>
          <w:tab w:val="clear" w:pos="360"/>
          <w:tab w:val="clear" w:pos="1267"/>
          <w:tab w:val="num" w:pos="1260"/>
        </w:tabs>
      </w:pPr>
      <w:r w:rsidRPr="00420EEA">
        <w:rPr>
          <w:rFonts w:cs="Arial"/>
          <w:bCs/>
          <w:szCs w:val="22"/>
        </w:rPr>
        <w:t>SREC – Supplier Request for Engineering</w:t>
      </w:r>
      <w:r>
        <w:rPr>
          <w:rFonts w:cs="Arial"/>
          <w:bCs/>
          <w:szCs w:val="22"/>
        </w:rPr>
        <w:t xml:space="preserve"> Change</w:t>
      </w:r>
    </w:p>
    <w:p w14:paraId="2F6E0B0F" w14:textId="6B44D5FC" w:rsidR="00C53EEF" w:rsidRPr="00C53EEF" w:rsidRDefault="00C53EEF" w:rsidP="0013082F">
      <w:pPr>
        <w:pStyle w:val="kj03123"/>
        <w:tabs>
          <w:tab w:val="clear" w:pos="360"/>
          <w:tab w:val="clear" w:pos="1267"/>
          <w:tab w:val="num" w:pos="1260"/>
        </w:tabs>
      </w:pPr>
      <w:r w:rsidRPr="00420EEA">
        <w:rPr>
          <w:rFonts w:cs="Arial"/>
          <w:bCs/>
          <w:szCs w:val="22"/>
        </w:rPr>
        <w:t>SRM – Supplier Relationship Management module in SAP</w:t>
      </w:r>
      <w:r>
        <w:rPr>
          <w:rFonts w:cs="Arial"/>
          <w:bCs/>
          <w:szCs w:val="22"/>
        </w:rPr>
        <w:t xml:space="preserve"> software</w:t>
      </w:r>
    </w:p>
    <w:p w14:paraId="76A87BCF" w14:textId="2D1705B7" w:rsidR="00C53EEF" w:rsidRPr="00C53EEF" w:rsidRDefault="00C53EEF" w:rsidP="0013082F">
      <w:pPr>
        <w:pStyle w:val="kj03123"/>
        <w:tabs>
          <w:tab w:val="clear" w:pos="360"/>
          <w:tab w:val="clear" w:pos="1267"/>
          <w:tab w:val="num" w:pos="1260"/>
        </w:tabs>
      </w:pPr>
      <w:r w:rsidRPr="00420EEA">
        <w:rPr>
          <w:rFonts w:cs="Arial"/>
          <w:bCs/>
          <w:szCs w:val="22"/>
        </w:rPr>
        <w:t>Standard Work – Concept of everyone using the same best practice</w:t>
      </w:r>
      <w:r>
        <w:rPr>
          <w:rFonts w:cs="Arial"/>
          <w:bCs/>
          <w:szCs w:val="22"/>
        </w:rPr>
        <w:t xml:space="preserve"> process</w:t>
      </w:r>
    </w:p>
    <w:p w14:paraId="106D1E4C" w14:textId="5E0E4024" w:rsidR="00C53EEF" w:rsidRPr="00C53EEF" w:rsidRDefault="00C53EEF" w:rsidP="0013082F">
      <w:pPr>
        <w:pStyle w:val="kj03123"/>
        <w:tabs>
          <w:tab w:val="clear" w:pos="360"/>
          <w:tab w:val="clear" w:pos="1267"/>
          <w:tab w:val="num" w:pos="1260"/>
        </w:tabs>
      </w:pPr>
      <w:r w:rsidRPr="00420EEA">
        <w:rPr>
          <w:rFonts w:cs="Arial"/>
          <w:bCs/>
          <w:szCs w:val="22"/>
        </w:rPr>
        <w:t>SVHC – Substance of Very High Concern, material with European regulatory</w:t>
      </w:r>
      <w:r>
        <w:rPr>
          <w:rFonts w:cs="Arial"/>
          <w:bCs/>
          <w:szCs w:val="22"/>
        </w:rPr>
        <w:t xml:space="preserve"> restrictions</w:t>
      </w:r>
    </w:p>
    <w:p w14:paraId="463DDA7B" w14:textId="0486E1D5" w:rsidR="00C53EEF" w:rsidRPr="00C53EEF" w:rsidRDefault="00C53EEF" w:rsidP="0013082F">
      <w:pPr>
        <w:pStyle w:val="kj03123"/>
        <w:tabs>
          <w:tab w:val="clear" w:pos="360"/>
          <w:tab w:val="clear" w:pos="1267"/>
          <w:tab w:val="num" w:pos="1260"/>
        </w:tabs>
      </w:pPr>
      <w:r w:rsidRPr="00420EEA">
        <w:rPr>
          <w:rFonts w:cs="Arial"/>
          <w:bCs/>
          <w:szCs w:val="22"/>
        </w:rPr>
        <w:t>SWOT – Strength, Weakness, Opportunity, Threat</w:t>
      </w:r>
      <w:r>
        <w:rPr>
          <w:rFonts w:cs="Arial"/>
          <w:bCs/>
          <w:szCs w:val="22"/>
        </w:rPr>
        <w:t xml:space="preserve"> Matrix</w:t>
      </w:r>
    </w:p>
    <w:p w14:paraId="1B284EBE" w14:textId="6BCF35EA" w:rsidR="00C53EEF" w:rsidRPr="00C53EEF" w:rsidRDefault="00C53EEF" w:rsidP="0013082F">
      <w:pPr>
        <w:pStyle w:val="kj03123"/>
        <w:tabs>
          <w:tab w:val="clear" w:pos="360"/>
          <w:tab w:val="clear" w:pos="1267"/>
          <w:tab w:val="num" w:pos="1260"/>
        </w:tabs>
      </w:pPr>
      <w:r w:rsidRPr="00420EEA">
        <w:rPr>
          <w:rFonts w:cs="Arial"/>
          <w:bCs/>
          <w:szCs w:val="22"/>
        </w:rPr>
        <w:t>Tier 1 Supplier – Prime</w:t>
      </w:r>
      <w:r>
        <w:rPr>
          <w:rFonts w:cs="Arial"/>
          <w:bCs/>
          <w:szCs w:val="22"/>
        </w:rPr>
        <w:t xml:space="preserve"> supplier</w:t>
      </w:r>
    </w:p>
    <w:p w14:paraId="4505DFDA" w14:textId="7819359E" w:rsidR="00C53EEF" w:rsidRPr="00C53EEF" w:rsidRDefault="00C53EEF" w:rsidP="0013082F">
      <w:pPr>
        <w:pStyle w:val="kj03123"/>
        <w:tabs>
          <w:tab w:val="clear" w:pos="360"/>
          <w:tab w:val="clear" w:pos="1267"/>
          <w:tab w:val="num" w:pos="1260"/>
        </w:tabs>
      </w:pPr>
      <w:r w:rsidRPr="00420EEA">
        <w:rPr>
          <w:rFonts w:cs="Arial"/>
          <w:bCs/>
          <w:szCs w:val="22"/>
        </w:rPr>
        <w:t xml:space="preserve">Tier 2, </w:t>
      </w:r>
      <w:r>
        <w:rPr>
          <w:rFonts w:cs="Arial"/>
          <w:bCs/>
          <w:szCs w:val="22"/>
        </w:rPr>
        <w:t xml:space="preserve">Tier </w:t>
      </w:r>
      <w:r w:rsidRPr="00420EEA">
        <w:rPr>
          <w:rFonts w:cs="Arial"/>
          <w:bCs/>
          <w:szCs w:val="22"/>
        </w:rPr>
        <w:t>3</w:t>
      </w:r>
      <w:r>
        <w:rPr>
          <w:rFonts w:cs="Arial"/>
          <w:bCs/>
          <w:szCs w:val="22"/>
        </w:rPr>
        <w:t xml:space="preserve">, </w:t>
      </w:r>
      <w:r w:rsidRPr="00420EEA">
        <w:rPr>
          <w:rFonts w:cs="Arial"/>
          <w:bCs/>
          <w:szCs w:val="22"/>
        </w:rPr>
        <w:t>Supplier – Sub-level supplier of Prime</w:t>
      </w:r>
      <w:r>
        <w:rPr>
          <w:rFonts w:cs="Arial"/>
          <w:bCs/>
          <w:szCs w:val="22"/>
        </w:rPr>
        <w:t xml:space="preserve"> supplier</w:t>
      </w:r>
    </w:p>
    <w:p w14:paraId="5A05333A" w14:textId="6291E5C9" w:rsidR="00C53EEF" w:rsidRPr="00406706" w:rsidRDefault="00406706" w:rsidP="0013082F">
      <w:pPr>
        <w:pStyle w:val="kj03123"/>
        <w:tabs>
          <w:tab w:val="clear" w:pos="360"/>
          <w:tab w:val="clear" w:pos="1267"/>
          <w:tab w:val="num" w:pos="1260"/>
        </w:tabs>
      </w:pPr>
      <w:r w:rsidRPr="00420EEA">
        <w:rPr>
          <w:rFonts w:cs="Arial"/>
          <w:bCs/>
          <w:szCs w:val="22"/>
        </w:rPr>
        <w:t>TPM – Total Productive Mainten</w:t>
      </w:r>
      <w:r>
        <w:rPr>
          <w:rFonts w:cs="Arial"/>
          <w:bCs/>
          <w:szCs w:val="22"/>
        </w:rPr>
        <w:t>ance</w:t>
      </w:r>
    </w:p>
    <w:p w14:paraId="52D85055" w14:textId="25B1A5DC" w:rsidR="00406706" w:rsidRPr="001D3731" w:rsidRDefault="001D3731" w:rsidP="0013082F">
      <w:pPr>
        <w:pStyle w:val="kj03123"/>
        <w:tabs>
          <w:tab w:val="clear" w:pos="360"/>
          <w:tab w:val="clear" w:pos="1267"/>
          <w:tab w:val="num" w:pos="1260"/>
        </w:tabs>
      </w:pPr>
      <w:r w:rsidRPr="00420EEA">
        <w:rPr>
          <w:rFonts w:cs="Arial"/>
          <w:bCs/>
          <w:szCs w:val="22"/>
        </w:rPr>
        <w:t>TSC – Theoretically Sharp</w:t>
      </w:r>
      <w:r>
        <w:rPr>
          <w:rFonts w:cs="Arial"/>
          <w:bCs/>
          <w:szCs w:val="22"/>
        </w:rPr>
        <w:t xml:space="preserve"> Corner</w:t>
      </w:r>
    </w:p>
    <w:p w14:paraId="1F54C4B7" w14:textId="2D7B0DF5" w:rsidR="001D3731" w:rsidRPr="001D3731" w:rsidRDefault="001D3731" w:rsidP="0013082F">
      <w:pPr>
        <w:pStyle w:val="kj03123"/>
        <w:tabs>
          <w:tab w:val="clear" w:pos="360"/>
          <w:tab w:val="clear" w:pos="1267"/>
          <w:tab w:val="num" w:pos="1260"/>
        </w:tabs>
      </w:pPr>
      <w:r w:rsidRPr="00420EEA">
        <w:rPr>
          <w:rFonts w:cs="Arial"/>
          <w:bCs/>
          <w:szCs w:val="22"/>
        </w:rPr>
        <w:t>TSCA – Toxic Substance Control Act, United States Environmental Protection Agency regula</w:t>
      </w:r>
      <w:r>
        <w:rPr>
          <w:rFonts w:cs="Arial"/>
          <w:bCs/>
          <w:szCs w:val="22"/>
        </w:rPr>
        <w:t>tion</w:t>
      </w:r>
    </w:p>
    <w:p w14:paraId="15FEB516" w14:textId="134665CF" w:rsidR="001D3731" w:rsidRPr="001D3731" w:rsidRDefault="0039398F" w:rsidP="0013082F">
      <w:pPr>
        <w:pStyle w:val="kj03123"/>
        <w:tabs>
          <w:tab w:val="clear" w:pos="360"/>
          <w:tab w:val="clear" w:pos="1267"/>
          <w:tab w:val="num" w:pos="1260"/>
        </w:tabs>
      </w:pPr>
      <w:r w:rsidRPr="00865577">
        <mc:AlternateContent>
          <mc:Choice Requires="wps">
            <w:drawing>
              <wp:anchor distT="45720" distB="45720" distL="114300" distR="114300" simplePos="0" relativeHeight="251719680" behindDoc="0" locked="0" layoutInCell="1" allowOverlap="1" wp14:anchorId="3C63DC35" wp14:editId="663AE8C8">
                <wp:simplePos x="0" y="0"/>
                <wp:positionH relativeFrom="column">
                  <wp:posOffset>-382270</wp:posOffset>
                </wp:positionH>
                <wp:positionV relativeFrom="paragraph">
                  <wp:posOffset>172984</wp:posOffset>
                </wp:positionV>
                <wp:extent cx="365760" cy="1404620"/>
                <wp:effectExtent l="0" t="0" r="0" b="8890"/>
                <wp:wrapNone/>
                <wp:docPr id="343565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404620"/>
                        </a:xfrm>
                        <a:prstGeom prst="rect">
                          <a:avLst/>
                        </a:prstGeom>
                        <a:solidFill>
                          <a:srgbClr val="FFFFFF"/>
                        </a:solidFill>
                        <a:ln w="9525">
                          <a:noFill/>
                          <a:miter lim="800000"/>
                          <a:headEnd/>
                          <a:tailEnd/>
                        </a:ln>
                      </wps:spPr>
                      <wps:txbx>
                        <w:txbxContent>
                          <w:p w14:paraId="5E34FA4B" w14:textId="77777777" w:rsidR="0039398F" w:rsidRPr="006659B4" w:rsidRDefault="0039398F" w:rsidP="0039398F">
                            <w:pPr>
                              <w:tabs>
                                <w:tab w:val="left" w:pos="187"/>
                                <w:tab w:val="left" w:pos="547"/>
                                <w:tab w:val="left" w:pos="1267"/>
                                <w:tab w:val="left" w:pos="2160"/>
                                <w:tab w:val="left" w:pos="3240"/>
                                <w:tab w:val="left" w:pos="4320"/>
                                <w:tab w:val="left" w:pos="5760"/>
                                <w:tab w:val="left" w:pos="7387"/>
                              </w:tabs>
                              <w:jc w:val="right"/>
                              <w:rPr>
                                <w:rFonts w:cs="Arial"/>
                              </w:rPr>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63DC35" id="_x0000_s1049" type="#_x0000_t202" style="position:absolute;left:0;text-align:left;margin-left:-30.1pt;margin-top:13.6pt;width:28.8pt;height:110.6pt;z-index:251719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" stroked="f">
                <v:textbox style="mso-fit-shape-to-text:t">
                  <w:txbxContent>
                    <w:p w14:paraId="5E34FA4B" w14:textId="77777777" w:rsidR="0039398F" w:rsidRPr="006659B4" w:rsidRDefault="0039398F" w:rsidP="0039398F">
                      <w:pPr>
                        <w:tabs>
                          <w:tab w:val="left" w:pos="187"/>
                          <w:tab w:val="left" w:pos="547"/>
                          <w:tab w:val="left" w:pos="1267"/>
                          <w:tab w:val="left" w:pos="2160"/>
                          <w:tab w:val="left" w:pos="3240"/>
                          <w:tab w:val="left" w:pos="4320"/>
                          <w:tab w:val="left" w:pos="5760"/>
                          <w:tab w:val="left" w:pos="7387"/>
                        </w:tabs>
                        <w:jc w:val="right"/>
                        <w:rPr>
                          <w:rFonts w:cs="Arial"/>
                        </w:rPr>
                      </w:pPr>
                      <w:r>
                        <w:t>|</w:t>
                      </w:r>
                    </w:p>
                  </w:txbxContent>
                </v:textbox>
              </v:shape>
            </w:pict>
          </mc:Fallback>
        </mc:AlternateContent>
      </w:r>
      <w:r w:rsidR="001D3731" w:rsidRPr="00420EEA">
        <w:rPr>
          <w:rFonts w:cs="Arial"/>
          <w:bCs/>
          <w:szCs w:val="22"/>
        </w:rPr>
        <w:t>VMI – Vendor Managed</w:t>
      </w:r>
      <w:r w:rsidR="001D3731">
        <w:rPr>
          <w:rFonts w:cs="Arial"/>
          <w:bCs/>
          <w:szCs w:val="22"/>
        </w:rPr>
        <w:t xml:space="preserve"> Inventory</w:t>
      </w:r>
    </w:p>
    <w:p w14:paraId="25373EFB" w14:textId="1D95B4D1" w:rsidR="001D3731" w:rsidRPr="00280B47" w:rsidRDefault="001D3731" w:rsidP="0013082F">
      <w:pPr>
        <w:pStyle w:val="kj03123"/>
        <w:tabs>
          <w:tab w:val="clear" w:pos="360"/>
          <w:tab w:val="clear" w:pos="1267"/>
          <w:tab w:val="num" w:pos="1260"/>
        </w:tabs>
      </w:pPr>
      <w:r w:rsidRPr="00420EEA">
        <w:rPr>
          <w:rFonts w:cs="Arial"/>
          <w:bCs/>
          <w:szCs w:val="22"/>
        </w:rPr>
        <w:t>VE – Value Engineer (</w:t>
      </w:r>
      <w:r w:rsidR="0039398F">
        <w:rPr>
          <w:rFonts w:cs="Arial"/>
          <w:bCs/>
          <w:szCs w:val="22"/>
        </w:rPr>
        <w:t>formerly</w:t>
      </w:r>
      <w:r>
        <w:rPr>
          <w:rFonts w:cs="Arial"/>
          <w:bCs/>
          <w:szCs w:val="22"/>
        </w:rPr>
        <w:t xml:space="preserve"> </w:t>
      </w:r>
      <w:r w:rsidRPr="0039398F">
        <w:rPr>
          <w:rFonts w:cs="Arial"/>
          <w:bCs/>
          <w:szCs w:val="22"/>
        </w:rPr>
        <w:t>SQE)</w:t>
      </w:r>
    </w:p>
    <w:p w14:paraId="20F6B5A0" w14:textId="131B0E09" w:rsidR="00280B47" w:rsidRPr="00280B47" w:rsidRDefault="00280B47" w:rsidP="0013082F">
      <w:pPr>
        <w:pStyle w:val="kj03123"/>
        <w:tabs>
          <w:tab w:val="clear" w:pos="360"/>
          <w:tab w:val="clear" w:pos="1267"/>
          <w:tab w:val="num" w:pos="1260"/>
        </w:tabs>
      </w:pPr>
      <w:r w:rsidRPr="00420EEA">
        <w:rPr>
          <w:rFonts w:cs="Arial"/>
          <w:bCs/>
          <w:szCs w:val="22"/>
        </w:rPr>
        <w:t>VSM – Value Stream Mapping, method for identifying opportunities for improvement also known as Process</w:t>
      </w:r>
      <w:r>
        <w:rPr>
          <w:rFonts w:cs="Arial"/>
          <w:bCs/>
          <w:szCs w:val="22"/>
        </w:rPr>
        <w:t xml:space="preserve"> Mapping)</w:t>
      </w:r>
    </w:p>
    <w:p w14:paraId="357A146E" w14:textId="64F9780E" w:rsidR="00280B47" w:rsidRPr="00280B47" w:rsidRDefault="00280B47" w:rsidP="0013082F">
      <w:pPr>
        <w:pStyle w:val="kj03123"/>
        <w:tabs>
          <w:tab w:val="clear" w:pos="360"/>
          <w:tab w:val="clear" w:pos="1267"/>
          <w:tab w:val="num" w:pos="1260"/>
        </w:tabs>
      </w:pPr>
      <w:r w:rsidRPr="00420EEA">
        <w:rPr>
          <w:rFonts w:cs="Arial"/>
          <w:bCs/>
          <w:szCs w:val="22"/>
        </w:rPr>
        <w:t>VOC – Voice of</w:t>
      </w:r>
      <w:r>
        <w:rPr>
          <w:rFonts w:cs="Arial"/>
          <w:bCs/>
          <w:szCs w:val="22"/>
        </w:rPr>
        <w:t xml:space="preserve"> Customer</w:t>
      </w:r>
    </w:p>
    <w:p w14:paraId="2862B0D8" w14:textId="0689DFA2" w:rsidR="00280B47" w:rsidRPr="00280B47" w:rsidRDefault="00280B47" w:rsidP="0013082F">
      <w:pPr>
        <w:pStyle w:val="kj03123"/>
        <w:tabs>
          <w:tab w:val="clear" w:pos="360"/>
          <w:tab w:val="clear" w:pos="1267"/>
          <w:tab w:val="num" w:pos="1260"/>
        </w:tabs>
      </w:pPr>
      <w:r w:rsidRPr="00420EEA">
        <w:rPr>
          <w:rFonts w:cs="Arial"/>
          <w:bCs/>
          <w:szCs w:val="22"/>
        </w:rPr>
        <w:t>WEEE – European Commission Waste Electrical and Electronic Equipment direct</w:t>
      </w:r>
      <w:r>
        <w:rPr>
          <w:rFonts w:cs="Arial"/>
          <w:bCs/>
          <w:szCs w:val="22"/>
        </w:rPr>
        <w:t>ive</w:t>
      </w:r>
    </w:p>
    <w:p w14:paraId="444D513E" w14:textId="7C77ECF7" w:rsidR="00280B47" w:rsidRPr="00280B47" w:rsidRDefault="00280B47" w:rsidP="0013082F">
      <w:pPr>
        <w:pStyle w:val="kj03123"/>
        <w:tabs>
          <w:tab w:val="clear" w:pos="360"/>
          <w:tab w:val="clear" w:pos="1267"/>
          <w:tab w:val="num" w:pos="1260"/>
        </w:tabs>
      </w:pPr>
      <w:r w:rsidRPr="00420EEA">
        <w:rPr>
          <w:rFonts w:cs="Arial"/>
          <w:bCs/>
          <w:szCs w:val="22"/>
        </w:rPr>
        <w:t>WI – Work I</w:t>
      </w:r>
      <w:r>
        <w:rPr>
          <w:rFonts w:cs="Arial"/>
          <w:bCs/>
          <w:szCs w:val="22"/>
        </w:rPr>
        <w:t>nstruction</w:t>
      </w:r>
    </w:p>
    <w:p w14:paraId="41E9D1B6" w14:textId="0932B03D" w:rsidR="00280B47" w:rsidRPr="00280B47" w:rsidRDefault="00280B47" w:rsidP="0013082F">
      <w:pPr>
        <w:pStyle w:val="kj03123"/>
        <w:tabs>
          <w:tab w:val="clear" w:pos="360"/>
          <w:tab w:val="clear" w:pos="1267"/>
          <w:tab w:val="num" w:pos="1260"/>
        </w:tabs>
      </w:pPr>
      <w:r>
        <w:rPr>
          <w:rFonts w:cs="Arial"/>
          <w:bCs/>
          <w:szCs w:val="22"/>
        </w:rPr>
        <w:t>WIP – Work In Progress</w:t>
      </w:r>
    </w:p>
    <w:p w14:paraId="24F9C70B" w14:textId="256BBDCC" w:rsidR="00280B47" w:rsidRPr="00280B47" w:rsidRDefault="00280B47" w:rsidP="0013082F">
      <w:pPr>
        <w:pStyle w:val="kj03123"/>
        <w:tabs>
          <w:tab w:val="clear" w:pos="360"/>
          <w:tab w:val="clear" w:pos="1267"/>
          <w:tab w:val="num" w:pos="1260"/>
        </w:tabs>
      </w:pPr>
      <w:r w:rsidRPr="00420EEA">
        <w:rPr>
          <w:rFonts w:cs="Arial"/>
          <w:bCs/>
          <w:szCs w:val="22"/>
        </w:rPr>
        <w:t>4 Blocker – Summary reporting</w:t>
      </w:r>
      <w:r>
        <w:rPr>
          <w:rFonts w:cs="Arial"/>
          <w:bCs/>
          <w:szCs w:val="22"/>
        </w:rPr>
        <w:t xml:space="preserve"> format</w:t>
      </w:r>
    </w:p>
    <w:p w14:paraId="5ACE61E3" w14:textId="67C45043" w:rsidR="00280B47" w:rsidRPr="00280B47" w:rsidRDefault="00280B47" w:rsidP="0013082F">
      <w:pPr>
        <w:pStyle w:val="kj03123"/>
        <w:tabs>
          <w:tab w:val="clear" w:pos="360"/>
          <w:tab w:val="clear" w:pos="1267"/>
          <w:tab w:val="num" w:pos="1260"/>
        </w:tabs>
      </w:pPr>
      <w:r w:rsidRPr="00420EEA">
        <w:rPr>
          <w:rFonts w:cs="Arial"/>
          <w:bCs/>
          <w:szCs w:val="22"/>
        </w:rPr>
        <w:t>4D/8D – Report formats for GT Corrective</w:t>
      </w:r>
      <w:r>
        <w:rPr>
          <w:rFonts w:cs="Arial"/>
          <w:bCs/>
          <w:szCs w:val="22"/>
        </w:rPr>
        <w:t xml:space="preserve"> Actions</w:t>
      </w:r>
    </w:p>
    <w:p w14:paraId="75ADBDFC" w14:textId="702047D8" w:rsidR="00280B47" w:rsidRPr="00280B47" w:rsidRDefault="00280B47" w:rsidP="0013082F">
      <w:pPr>
        <w:pStyle w:val="kj03123"/>
        <w:tabs>
          <w:tab w:val="clear" w:pos="360"/>
          <w:tab w:val="clear" w:pos="1267"/>
          <w:tab w:val="num" w:pos="1260"/>
        </w:tabs>
      </w:pPr>
      <w:r w:rsidRPr="00420EEA">
        <w:rPr>
          <w:rFonts w:cs="Arial"/>
          <w:bCs/>
          <w:szCs w:val="22"/>
        </w:rPr>
        <w:t>5S – Workplace organizational methodology aimed to reduce waste in different</w:t>
      </w:r>
      <w:r>
        <w:rPr>
          <w:rFonts w:cs="Arial"/>
          <w:bCs/>
          <w:szCs w:val="22"/>
        </w:rPr>
        <w:t xml:space="preserve"> forms</w:t>
      </w:r>
    </w:p>
    <w:p w14:paraId="0C6CC7D7" w14:textId="338422E2" w:rsidR="00280B47" w:rsidRPr="00280B47" w:rsidRDefault="00280B47" w:rsidP="0013082F">
      <w:pPr>
        <w:pStyle w:val="kj03123"/>
        <w:tabs>
          <w:tab w:val="clear" w:pos="360"/>
          <w:tab w:val="clear" w:pos="1267"/>
          <w:tab w:val="num" w:pos="1260"/>
        </w:tabs>
      </w:pPr>
      <w:r w:rsidRPr="00420EEA">
        <w:rPr>
          <w:rFonts w:cs="Arial"/>
          <w:bCs/>
          <w:szCs w:val="22"/>
        </w:rPr>
        <w:t>5 Why – Problem solving technique to get to true root cause of an</w:t>
      </w:r>
      <w:r>
        <w:rPr>
          <w:rFonts w:cs="Arial"/>
          <w:bCs/>
          <w:szCs w:val="22"/>
        </w:rPr>
        <w:t xml:space="preserve"> issue</w:t>
      </w:r>
    </w:p>
    <w:p w14:paraId="484BBACD" w14:textId="07B86D96" w:rsidR="00280B47" w:rsidRDefault="00280B47" w:rsidP="0013082F">
      <w:pPr>
        <w:pStyle w:val="kj03123"/>
        <w:tabs>
          <w:tab w:val="clear" w:pos="360"/>
          <w:tab w:val="clear" w:pos="1267"/>
          <w:tab w:val="num" w:pos="1260"/>
        </w:tabs>
      </w:pPr>
      <w:r w:rsidRPr="00420EEA">
        <w:rPr>
          <w:rFonts w:cs="Arial"/>
          <w:bCs/>
          <w:szCs w:val="22"/>
        </w:rPr>
        <w:t xml:space="preserve">6 Sigma –Strategy to understand, measure, </w:t>
      </w:r>
      <w:r w:rsidR="0030133D">
        <w:rPr>
          <w:rFonts w:cs="Arial"/>
          <w:bCs/>
          <w:szCs w:val="22"/>
        </w:rPr>
        <w:t>and</w:t>
      </w:r>
      <w:r w:rsidRPr="00420EEA">
        <w:rPr>
          <w:rFonts w:cs="Arial"/>
          <w:bCs/>
          <w:szCs w:val="22"/>
        </w:rPr>
        <w:t xml:space="preserve"> reduce variability to improve quality</w:t>
      </w:r>
      <w:r>
        <w:rPr>
          <w:rFonts w:cs="Arial"/>
          <w:bCs/>
          <w:szCs w:val="22"/>
        </w:rPr>
        <w:t xml:space="preserve"> </w:t>
      </w:r>
      <w:r w:rsidR="0030133D">
        <w:rPr>
          <w:rFonts w:cs="Arial"/>
          <w:bCs/>
          <w:szCs w:val="22"/>
        </w:rPr>
        <w:t>and</w:t>
      </w:r>
      <w:r>
        <w:rPr>
          <w:rFonts w:cs="Arial"/>
          <w:bCs/>
          <w:szCs w:val="22"/>
        </w:rPr>
        <w:t xml:space="preserve"> cost</w:t>
      </w:r>
    </w:p>
    <w:p w14:paraId="14432175" w14:textId="77777777" w:rsidR="00E26FE2" w:rsidRDefault="00E26FE2" w:rsidP="00066290">
      <w:pPr>
        <w:pStyle w:val="kj0010TextOnly"/>
        <w:rPr>
          <w:rFonts w:cs="Arial"/>
        </w:rPr>
      </w:pPr>
    </w:p>
    <w:p w14:paraId="0A3B18C3" w14:textId="77777777" w:rsidR="00E26FE2" w:rsidRDefault="00E26FE2" w:rsidP="00066290">
      <w:pPr>
        <w:pStyle w:val="kj0010TextOnly"/>
        <w:rPr>
          <w:rFonts w:cs="Arial"/>
        </w:rPr>
      </w:pPr>
    </w:p>
    <w:p w14:paraId="4517767A" w14:textId="77777777" w:rsidR="00E26FE2" w:rsidRDefault="00E26FE2" w:rsidP="00066290">
      <w:pPr>
        <w:pStyle w:val="kj0010TextOnly"/>
        <w:rPr>
          <w:rFonts w:cs="Arial"/>
        </w:rPr>
      </w:pPr>
    </w:p>
    <w:p w14:paraId="0FA9C1E7" w14:textId="77777777" w:rsidR="000E3C26" w:rsidRDefault="001D5FBA" w:rsidP="000E3C26">
      <w:hyperlink w:anchor="TableOfContents" w:history="1">
        <w:r w:rsidR="000E3C26" w:rsidRPr="00066290">
          <w:rPr>
            <w:rStyle w:val="Hyperlink"/>
            <w:rFonts w:cs="Arial"/>
            <w:sz w:val="16"/>
            <w:szCs w:val="14"/>
          </w:rPr>
          <w:t>Return to Table of Contents</w:t>
        </w:r>
      </w:hyperlink>
      <w:r w:rsidR="000E3C26">
        <w:br w:type="page"/>
      </w:r>
    </w:p>
    <w:bookmarkStart w:id="68" w:name="_Toc161133609"/>
    <w:p w14:paraId="3FD140CF" w14:textId="46C7E576" w:rsidR="00415FDE" w:rsidRDefault="005240BE" w:rsidP="000E3C26">
      <w:pPr>
        <w:pStyle w:val="kj0212"/>
        <w:tabs>
          <w:tab w:val="clear" w:pos="360"/>
          <w:tab w:val="clear" w:pos="547"/>
          <w:tab w:val="num" w:pos="540"/>
        </w:tabs>
      </w:pPr>
      <w:r w:rsidRPr="00865577">
        <w:rPr>
          <w:noProof/>
        </w:rPr>
        <mc:AlternateContent>
          <mc:Choice Requires="wps">
            <w:drawing>
              <wp:anchor distT="45720" distB="45720" distL="114300" distR="114300" simplePos="0" relativeHeight="251721728" behindDoc="0" locked="0" layoutInCell="1" allowOverlap="1" wp14:anchorId="412266B4" wp14:editId="6621D252">
                <wp:simplePos x="0" y="0"/>
                <wp:positionH relativeFrom="column">
                  <wp:posOffset>-375285</wp:posOffset>
                </wp:positionH>
                <wp:positionV relativeFrom="paragraph">
                  <wp:posOffset>-49794</wp:posOffset>
                </wp:positionV>
                <wp:extent cx="365760" cy="1404620"/>
                <wp:effectExtent l="0" t="0" r="0" b="8890"/>
                <wp:wrapNone/>
                <wp:docPr id="803844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404620"/>
                        </a:xfrm>
                        <a:prstGeom prst="rect">
                          <a:avLst/>
                        </a:prstGeom>
                        <a:solidFill>
                          <a:srgbClr val="FFFFFF"/>
                        </a:solidFill>
                        <a:ln w="9525">
                          <a:noFill/>
                          <a:miter lim="800000"/>
                          <a:headEnd/>
                          <a:tailEnd/>
                        </a:ln>
                      </wps:spPr>
                      <wps:txbx>
                        <w:txbxContent>
                          <w:p w14:paraId="1DA56750" w14:textId="77777777" w:rsidR="005240BE" w:rsidRPr="006659B4" w:rsidRDefault="005240BE" w:rsidP="005240BE">
                            <w:pPr>
                              <w:tabs>
                                <w:tab w:val="left" w:pos="187"/>
                                <w:tab w:val="left" w:pos="547"/>
                                <w:tab w:val="left" w:pos="1267"/>
                                <w:tab w:val="left" w:pos="2160"/>
                                <w:tab w:val="left" w:pos="3240"/>
                                <w:tab w:val="left" w:pos="4320"/>
                                <w:tab w:val="left" w:pos="5760"/>
                                <w:tab w:val="left" w:pos="7387"/>
                              </w:tabs>
                              <w:jc w:val="right"/>
                              <w:rPr>
                                <w:rFonts w:cs="Arial"/>
                              </w:rPr>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2266B4" id="_x0000_s1050" type="#_x0000_t202" style="position:absolute;left:0;text-align:left;margin-left:-29.55pt;margin-top:-3.9pt;width:28.8pt;height:110.6pt;z-index:251721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HeMEwIAAP4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" stroked="f">
                <v:textbox style="mso-fit-shape-to-text:t">
                  <w:txbxContent>
                    <w:p w14:paraId="1DA56750" w14:textId="77777777" w:rsidR="005240BE" w:rsidRPr="006659B4" w:rsidRDefault="005240BE" w:rsidP="005240BE">
                      <w:pPr>
                        <w:tabs>
                          <w:tab w:val="left" w:pos="187"/>
                          <w:tab w:val="left" w:pos="547"/>
                          <w:tab w:val="left" w:pos="1267"/>
                          <w:tab w:val="left" w:pos="2160"/>
                          <w:tab w:val="left" w:pos="3240"/>
                          <w:tab w:val="left" w:pos="4320"/>
                          <w:tab w:val="left" w:pos="5760"/>
                          <w:tab w:val="left" w:pos="7387"/>
                        </w:tabs>
                        <w:jc w:val="right"/>
                        <w:rPr>
                          <w:rFonts w:cs="Arial"/>
                        </w:rPr>
                      </w:pPr>
                      <w:r>
                        <w:t>|</w:t>
                      </w:r>
                    </w:p>
                  </w:txbxContent>
                </v:textbox>
              </v:shape>
            </w:pict>
          </mc:Fallback>
        </mc:AlternateContent>
      </w:r>
      <w:r w:rsidR="00415FDE">
        <w:t>GT Referenced Documents</w:t>
      </w:r>
      <w:bookmarkEnd w:id="68"/>
    </w:p>
    <w:p w14:paraId="10A7AE88" w14:textId="6B12B943" w:rsidR="00415FDE" w:rsidRDefault="00415FDE" w:rsidP="00415FDE">
      <w:pPr>
        <w:pStyle w:val="kj03123"/>
        <w:tabs>
          <w:tab w:val="clear" w:pos="360"/>
          <w:tab w:val="clear" w:pos="1267"/>
          <w:tab w:val="num" w:pos="1260"/>
        </w:tabs>
      </w:pPr>
      <w:r>
        <w:t>FR-</w:t>
      </w:r>
      <w:r w:rsidR="00CE5338">
        <w:t>NBS-14.003</w:t>
      </w:r>
      <w:r>
        <w:tab/>
        <w:t>Produc</w:t>
      </w:r>
      <w:r w:rsidR="00CE5338">
        <w:t>t</w:t>
      </w:r>
      <w:r>
        <w:t xml:space="preserve"> Supplier Survey Questionnaire</w:t>
      </w:r>
    </w:p>
    <w:p w14:paraId="48C4AAE7" w14:textId="11B6309F" w:rsidR="00415FDE" w:rsidRDefault="005240BE" w:rsidP="00415FDE">
      <w:pPr>
        <w:pStyle w:val="kj03123"/>
        <w:tabs>
          <w:tab w:val="clear" w:pos="360"/>
          <w:tab w:val="clear" w:pos="1267"/>
          <w:tab w:val="num" w:pos="1260"/>
        </w:tabs>
      </w:pPr>
      <w:r>
        <w:t>FR-</w:t>
      </w:r>
      <w:r w:rsidR="00CE5338">
        <w:t>NBS-14.004</w:t>
      </w:r>
      <w:r>
        <w:tab/>
        <w:t>Capital/MRO</w:t>
      </w:r>
      <w:r w:rsidR="00CE5338">
        <w:t xml:space="preserve"> (Non-Product Materials)</w:t>
      </w:r>
      <w:r>
        <w:t xml:space="preserve"> Supplier Survey</w:t>
      </w:r>
    </w:p>
    <w:p w14:paraId="10DA31D2" w14:textId="05EBE799" w:rsidR="005240BE" w:rsidRDefault="005240BE" w:rsidP="00415FDE">
      <w:pPr>
        <w:pStyle w:val="kj03123"/>
        <w:tabs>
          <w:tab w:val="clear" w:pos="360"/>
          <w:tab w:val="clear" w:pos="1267"/>
          <w:tab w:val="num" w:pos="1260"/>
        </w:tabs>
      </w:pPr>
      <w:r>
        <w:t>FR-GP-0000-00.013</w:t>
      </w:r>
      <w:r>
        <w:tab/>
        <w:t>Mold Tool Shop Survey</w:t>
      </w:r>
    </w:p>
    <w:p w14:paraId="52281210" w14:textId="29326F4B" w:rsidR="005240BE" w:rsidRDefault="005240BE" w:rsidP="00415FDE">
      <w:pPr>
        <w:pStyle w:val="kj03123"/>
        <w:tabs>
          <w:tab w:val="clear" w:pos="360"/>
          <w:tab w:val="clear" w:pos="1267"/>
          <w:tab w:val="num" w:pos="1260"/>
        </w:tabs>
      </w:pPr>
      <w:r>
        <w:t>FR-GP-0000-00.012</w:t>
      </w:r>
      <w:r>
        <w:tab/>
        <w:t>Supplier Deviation Request (SDR)</w:t>
      </w:r>
    </w:p>
    <w:p w14:paraId="09005AD6" w14:textId="40472E8D" w:rsidR="005240BE" w:rsidRDefault="005240BE" w:rsidP="00415FDE">
      <w:pPr>
        <w:pStyle w:val="kj03123"/>
        <w:tabs>
          <w:tab w:val="clear" w:pos="360"/>
          <w:tab w:val="clear" w:pos="1267"/>
          <w:tab w:val="num" w:pos="1260"/>
        </w:tabs>
      </w:pPr>
      <w:r>
        <w:t>WI-GP-00-06.016</w:t>
      </w:r>
      <w:r>
        <w:tab/>
        <w:t>Supplier First Article Inspection Report (FAIR)</w:t>
      </w:r>
    </w:p>
    <w:p w14:paraId="6B1E896F" w14:textId="333C05D6" w:rsidR="005240BE" w:rsidRDefault="005240BE" w:rsidP="00415FDE">
      <w:pPr>
        <w:pStyle w:val="kj03123"/>
        <w:tabs>
          <w:tab w:val="clear" w:pos="360"/>
          <w:tab w:val="clear" w:pos="1267"/>
          <w:tab w:val="num" w:pos="1260"/>
        </w:tabs>
      </w:pPr>
      <w:r>
        <w:t>FR-QA-0000-00.007</w:t>
      </w:r>
      <w:r>
        <w:tab/>
        <w:t>First Article Inspection Report</w:t>
      </w:r>
    </w:p>
    <w:p w14:paraId="31A81EA7" w14:textId="0A2F64D3" w:rsidR="005240BE" w:rsidRDefault="005240BE" w:rsidP="00415FDE">
      <w:pPr>
        <w:pStyle w:val="kj03123"/>
        <w:tabs>
          <w:tab w:val="clear" w:pos="360"/>
          <w:tab w:val="clear" w:pos="1267"/>
          <w:tab w:val="num" w:pos="1260"/>
        </w:tabs>
      </w:pPr>
      <w:r>
        <w:t>WI-GP-00-06.018</w:t>
      </w:r>
      <w:r>
        <w:tab/>
        <w:t>Supplier Request for Engineering Change</w:t>
      </w:r>
    </w:p>
    <w:p w14:paraId="0522C452" w14:textId="54ADE063" w:rsidR="005240BE" w:rsidRDefault="005240BE" w:rsidP="00415FDE">
      <w:pPr>
        <w:pStyle w:val="kj03123"/>
        <w:tabs>
          <w:tab w:val="clear" w:pos="360"/>
          <w:tab w:val="clear" w:pos="1267"/>
          <w:tab w:val="num" w:pos="1260"/>
        </w:tabs>
      </w:pPr>
      <w:r>
        <w:t>FR-GP-0000-00.016</w:t>
      </w:r>
      <w:r>
        <w:tab/>
        <w:t>Supplier Request for Engineering Change (SREC)</w:t>
      </w:r>
    </w:p>
    <w:p w14:paraId="0F968605" w14:textId="00650DDB" w:rsidR="00D365C8" w:rsidRDefault="000E3C26" w:rsidP="000E3C26">
      <w:pPr>
        <w:pStyle w:val="kj0212"/>
        <w:tabs>
          <w:tab w:val="clear" w:pos="360"/>
          <w:tab w:val="clear" w:pos="547"/>
          <w:tab w:val="num" w:pos="540"/>
        </w:tabs>
      </w:pPr>
      <w:bookmarkStart w:id="69" w:name="_Toc161133610"/>
      <w:r>
        <w:t>GT Supply Chain Locations</w:t>
      </w:r>
      <w:bookmarkEnd w:id="69"/>
    </w:p>
    <w:p w14:paraId="691F3283" w14:textId="0B99777F" w:rsidR="000E3C26" w:rsidRDefault="000E3C26" w:rsidP="008072AF">
      <w:pPr>
        <w:pStyle w:val="kj03123"/>
        <w:tabs>
          <w:tab w:val="clear" w:pos="360"/>
          <w:tab w:val="clear" w:pos="1267"/>
          <w:tab w:val="num" w:pos="1260"/>
        </w:tabs>
      </w:pPr>
      <w:r>
        <w:t>United States</w:t>
      </w:r>
    </w:p>
    <w:p w14:paraId="49E757DB" w14:textId="01AA07B1" w:rsidR="00D365C8" w:rsidRDefault="000E3C26" w:rsidP="000E3C26">
      <w:pPr>
        <w:pStyle w:val="kj041234"/>
        <w:ind w:hanging="1080"/>
      </w:pPr>
      <w:r>
        <w:rPr>
          <w:rFonts w:cs="Arial"/>
          <w:szCs w:val="22"/>
        </w:rPr>
        <w:t>Greene, Tweed &amp; Co. Lansdale</w:t>
      </w:r>
    </w:p>
    <w:p w14:paraId="7CD6CA04" w14:textId="3919A51D" w:rsidR="00D365C8" w:rsidRDefault="000E3C26" w:rsidP="000E3C26">
      <w:pPr>
        <w:pStyle w:val="kj041234TextOnly"/>
        <w:rPr>
          <w:rFonts w:cs="Arial"/>
          <w:szCs w:val="22"/>
        </w:rPr>
      </w:pPr>
      <w:r>
        <w:rPr>
          <w:rFonts w:cs="Arial"/>
          <w:szCs w:val="22"/>
        </w:rPr>
        <w:t>1684 S. Broad St.</w:t>
      </w:r>
    </w:p>
    <w:p w14:paraId="5BE2553F" w14:textId="23B81D91" w:rsidR="000E3C26" w:rsidRDefault="000E3C26" w:rsidP="000E3C26">
      <w:pPr>
        <w:pStyle w:val="kj041234TextOnly"/>
      </w:pPr>
      <w:r>
        <w:rPr>
          <w:rFonts w:cs="Arial"/>
          <w:szCs w:val="22"/>
        </w:rPr>
        <w:t>Lansdale, PA 19446</w:t>
      </w:r>
    </w:p>
    <w:p w14:paraId="2D34D662" w14:textId="5CD62496" w:rsidR="00E26FE2" w:rsidRDefault="000E3C26" w:rsidP="000E3C26">
      <w:pPr>
        <w:pStyle w:val="kj041234"/>
        <w:ind w:hanging="1080"/>
      </w:pPr>
      <w:r>
        <w:rPr>
          <w:rFonts w:cs="Arial"/>
          <w:szCs w:val="22"/>
        </w:rPr>
        <w:t>Greene, Tweed &amp; Co. Kulpsville</w:t>
      </w:r>
    </w:p>
    <w:p w14:paraId="31903286" w14:textId="580DC072" w:rsidR="00E26FE2" w:rsidRDefault="000E3C26" w:rsidP="000E3C26">
      <w:pPr>
        <w:pStyle w:val="kj041234TextOnly"/>
        <w:rPr>
          <w:rFonts w:cs="Arial"/>
          <w:szCs w:val="22"/>
        </w:rPr>
      </w:pPr>
      <w:r w:rsidRPr="00893166">
        <w:rPr>
          <w:rFonts w:cs="Arial"/>
          <w:szCs w:val="22"/>
        </w:rPr>
        <w:t>2075 Detwiler Road, P.O. Box</w:t>
      </w:r>
      <w:r>
        <w:rPr>
          <w:rFonts w:cs="Arial"/>
          <w:szCs w:val="22"/>
        </w:rPr>
        <w:t xml:space="preserve"> 305</w:t>
      </w:r>
    </w:p>
    <w:p w14:paraId="6F7DA7F9" w14:textId="72844CFD" w:rsidR="000E3C26" w:rsidRDefault="000E3C26" w:rsidP="000E3C26">
      <w:pPr>
        <w:pStyle w:val="kj041234TextOnly"/>
      </w:pPr>
      <w:proofErr w:type="spellStart"/>
      <w:r>
        <w:rPr>
          <w:rFonts w:cs="Arial"/>
          <w:szCs w:val="22"/>
        </w:rPr>
        <w:t>Kulpsville</w:t>
      </w:r>
      <w:proofErr w:type="spellEnd"/>
      <w:r>
        <w:rPr>
          <w:rFonts w:cs="Arial"/>
          <w:szCs w:val="22"/>
        </w:rPr>
        <w:t>, PA 19443-0305</w:t>
      </w:r>
    </w:p>
    <w:p w14:paraId="0208EBFB" w14:textId="7F9932CC" w:rsidR="00E26FE2" w:rsidRDefault="000E3C26" w:rsidP="000E3C26">
      <w:pPr>
        <w:pStyle w:val="kj041234"/>
        <w:ind w:hanging="1080"/>
      </w:pPr>
      <w:r w:rsidRPr="00893166">
        <w:rPr>
          <w:rFonts w:cs="Arial"/>
          <w:szCs w:val="22"/>
        </w:rPr>
        <w:t>Greene, Tweed &amp; Co. Houst</w:t>
      </w:r>
      <w:r>
        <w:rPr>
          <w:rFonts w:cs="Arial"/>
          <w:szCs w:val="22"/>
        </w:rPr>
        <w:t>on</w:t>
      </w:r>
    </w:p>
    <w:p w14:paraId="78C9ACAF" w14:textId="59B1A544" w:rsidR="00E26FE2" w:rsidRDefault="000E3C26" w:rsidP="000E3C26">
      <w:pPr>
        <w:pStyle w:val="kj041234TextOnly"/>
        <w:rPr>
          <w:rFonts w:cs="Arial"/>
          <w:szCs w:val="22"/>
        </w:rPr>
      </w:pPr>
      <w:r w:rsidRPr="00893166">
        <w:rPr>
          <w:rFonts w:cs="Arial"/>
          <w:szCs w:val="22"/>
        </w:rPr>
        <w:t>1930 Rankin</w:t>
      </w:r>
      <w:r>
        <w:rPr>
          <w:rFonts w:cs="Arial"/>
          <w:szCs w:val="22"/>
        </w:rPr>
        <w:t xml:space="preserve"> Road</w:t>
      </w:r>
    </w:p>
    <w:p w14:paraId="0DF14208" w14:textId="328A429B" w:rsidR="000E3C26" w:rsidRDefault="000E3C26" w:rsidP="000E3C26">
      <w:pPr>
        <w:pStyle w:val="kj041234TextOnly"/>
      </w:pPr>
      <w:r>
        <w:rPr>
          <w:rFonts w:cs="Arial"/>
          <w:szCs w:val="22"/>
        </w:rPr>
        <w:t>Houston, TX 77073</w:t>
      </w:r>
    </w:p>
    <w:p w14:paraId="59FABC0A" w14:textId="284C0D11" w:rsidR="00E26FE2" w:rsidRDefault="008072AF" w:rsidP="000E3C26">
      <w:pPr>
        <w:pStyle w:val="kj041234"/>
        <w:ind w:hanging="1080"/>
      </w:pPr>
      <w:r w:rsidRPr="00893166">
        <w:rPr>
          <w:rFonts w:cs="Arial"/>
          <w:szCs w:val="22"/>
        </w:rPr>
        <w:t>Greene, Tweed &amp; Co.</w:t>
      </w:r>
      <w:r>
        <w:rPr>
          <w:rFonts w:cs="Arial"/>
          <w:szCs w:val="22"/>
        </w:rPr>
        <w:t xml:space="preserve"> Selma</w:t>
      </w:r>
    </w:p>
    <w:p w14:paraId="1A87BE5A" w14:textId="2767AD31" w:rsidR="00E26FE2" w:rsidRDefault="008072AF" w:rsidP="008072AF">
      <w:pPr>
        <w:pStyle w:val="kj041234TextOnly"/>
        <w:rPr>
          <w:rFonts w:cs="Arial"/>
          <w:szCs w:val="22"/>
        </w:rPr>
      </w:pPr>
      <w:r w:rsidRPr="00893166">
        <w:rPr>
          <w:rFonts w:cs="Arial"/>
          <w:szCs w:val="22"/>
        </w:rPr>
        <w:t>9365 Corporate</w:t>
      </w:r>
      <w:r>
        <w:rPr>
          <w:rFonts w:cs="Arial"/>
          <w:szCs w:val="22"/>
        </w:rPr>
        <w:t xml:space="preserve"> Drive</w:t>
      </w:r>
    </w:p>
    <w:p w14:paraId="7D2C1AE7" w14:textId="6A2B6A47" w:rsidR="008072AF" w:rsidRDefault="008072AF" w:rsidP="008072AF">
      <w:pPr>
        <w:pStyle w:val="kj041234TextOnly"/>
        <w:rPr>
          <w:rFonts w:cs="Arial"/>
          <w:szCs w:val="22"/>
        </w:rPr>
      </w:pPr>
      <w:r>
        <w:rPr>
          <w:rFonts w:cs="Arial"/>
          <w:szCs w:val="22"/>
        </w:rPr>
        <w:t>Selma, TX 78154</w:t>
      </w:r>
    </w:p>
    <w:p w14:paraId="22705682" w14:textId="077BABE2" w:rsidR="00DE19AB" w:rsidRDefault="00DE19AB" w:rsidP="00DE19AB">
      <w:pPr>
        <w:pStyle w:val="kj041234"/>
        <w:ind w:hanging="1080"/>
      </w:pPr>
      <w:r>
        <w:t>Palmetto, LLC</w:t>
      </w:r>
    </w:p>
    <w:p w14:paraId="2761CA23" w14:textId="54FC340B" w:rsidR="00DE19AB" w:rsidRDefault="00DE19AB" w:rsidP="008072AF">
      <w:pPr>
        <w:pStyle w:val="kj041234TextOnly"/>
        <w:rPr>
          <w:rFonts w:cs="Arial"/>
          <w:szCs w:val="22"/>
        </w:rPr>
      </w:pPr>
      <w:r>
        <w:rPr>
          <w:rFonts w:cs="Arial"/>
          <w:szCs w:val="22"/>
        </w:rPr>
        <w:t>25 Engerman Avenue</w:t>
      </w:r>
    </w:p>
    <w:p w14:paraId="4DF06335" w14:textId="0851934C" w:rsidR="00DE19AB" w:rsidRDefault="00DE19AB" w:rsidP="008072AF">
      <w:pPr>
        <w:pStyle w:val="kj041234TextOnly"/>
        <w:rPr>
          <w:rFonts w:cs="Arial"/>
          <w:szCs w:val="22"/>
        </w:rPr>
      </w:pPr>
      <w:r>
        <w:rPr>
          <w:rFonts w:cs="Arial"/>
          <w:szCs w:val="22"/>
        </w:rPr>
        <w:t>Denton Industrial Park</w:t>
      </w:r>
    </w:p>
    <w:p w14:paraId="7394A8C0" w14:textId="611410D3" w:rsidR="00DE19AB" w:rsidRDefault="00DE19AB" w:rsidP="008072AF">
      <w:pPr>
        <w:pStyle w:val="kj041234TextOnly"/>
        <w:rPr>
          <w:rFonts w:cs="Arial"/>
          <w:szCs w:val="22"/>
        </w:rPr>
      </w:pPr>
      <w:r>
        <w:rPr>
          <w:rFonts w:cs="Arial"/>
          <w:szCs w:val="22"/>
        </w:rPr>
        <w:t>Denton, MD 21629</w:t>
      </w:r>
    </w:p>
    <w:p w14:paraId="25AAD1FD" w14:textId="425B7A0D" w:rsidR="00E26FE2" w:rsidRDefault="008072AF" w:rsidP="008072AF">
      <w:pPr>
        <w:pStyle w:val="kj03123"/>
        <w:tabs>
          <w:tab w:val="clear" w:pos="360"/>
          <w:tab w:val="clear" w:pos="1267"/>
          <w:tab w:val="num" w:pos="1260"/>
        </w:tabs>
      </w:pPr>
      <w:r>
        <w:t>Europe</w:t>
      </w:r>
    </w:p>
    <w:p w14:paraId="1F825AC4" w14:textId="28BD97B7" w:rsidR="00E26FE2" w:rsidRDefault="008072AF" w:rsidP="008072AF">
      <w:pPr>
        <w:pStyle w:val="kj041234"/>
        <w:ind w:hanging="1080"/>
      </w:pPr>
      <w:r w:rsidRPr="00893166">
        <w:t>Greene, Tweed &amp; Co., L</w:t>
      </w:r>
      <w:r>
        <w:t>imited</w:t>
      </w:r>
    </w:p>
    <w:p w14:paraId="5B8C4EDA" w14:textId="025BADFC" w:rsidR="00E26FE2" w:rsidRDefault="008072AF" w:rsidP="008072AF">
      <w:pPr>
        <w:pStyle w:val="kj041234TextOnly"/>
        <w:rPr>
          <w:rFonts w:cs="Arial"/>
          <w:szCs w:val="22"/>
        </w:rPr>
      </w:pPr>
      <w:r w:rsidRPr="00893166">
        <w:rPr>
          <w:rFonts w:cs="Arial"/>
          <w:szCs w:val="22"/>
        </w:rPr>
        <w:t>Ruddington</w:t>
      </w:r>
      <w:r>
        <w:rPr>
          <w:rFonts w:cs="Arial"/>
          <w:szCs w:val="22"/>
        </w:rPr>
        <w:t xml:space="preserve"> Fields</w:t>
      </w:r>
    </w:p>
    <w:p w14:paraId="15EEC5CA" w14:textId="148A1291" w:rsidR="008072AF" w:rsidRDefault="008072AF" w:rsidP="008072AF">
      <w:pPr>
        <w:pStyle w:val="kj041234TextOnly"/>
        <w:rPr>
          <w:rFonts w:cs="Arial"/>
          <w:szCs w:val="22"/>
        </w:rPr>
      </w:pPr>
      <w:r>
        <w:rPr>
          <w:rFonts w:cs="Arial"/>
          <w:szCs w:val="22"/>
        </w:rPr>
        <w:t>Nottingham, England</w:t>
      </w:r>
    </w:p>
    <w:p w14:paraId="114FD9B2" w14:textId="6610F9AB" w:rsidR="008072AF" w:rsidRDefault="008072AF" w:rsidP="008072AF">
      <w:pPr>
        <w:pStyle w:val="kj041234TextOnly"/>
        <w:rPr>
          <w:rFonts w:cs="Arial"/>
          <w:szCs w:val="22"/>
        </w:rPr>
      </w:pPr>
      <w:r>
        <w:rPr>
          <w:rFonts w:cs="Arial"/>
          <w:szCs w:val="22"/>
        </w:rPr>
        <w:t>NG11 6JS</w:t>
      </w:r>
    </w:p>
    <w:p w14:paraId="1CC5581A" w14:textId="77777777" w:rsidR="00DE19AB" w:rsidRDefault="001D5FBA" w:rsidP="00DE19AB">
      <w:hyperlink w:anchor="TableOfContents" w:history="1">
        <w:r w:rsidR="00DE19AB" w:rsidRPr="00066290">
          <w:rPr>
            <w:rStyle w:val="Hyperlink"/>
            <w:rFonts w:cs="Arial"/>
            <w:sz w:val="16"/>
            <w:szCs w:val="14"/>
          </w:rPr>
          <w:t>Return to Table of Contents</w:t>
        </w:r>
      </w:hyperlink>
      <w:r w:rsidR="00DE19AB">
        <w:br w:type="page"/>
      </w:r>
    </w:p>
    <w:p w14:paraId="6584D4E5" w14:textId="79D9950E" w:rsidR="00E26FE2" w:rsidRDefault="006049CA" w:rsidP="006049CA">
      <w:pPr>
        <w:pStyle w:val="kj03123"/>
        <w:tabs>
          <w:tab w:val="clear" w:pos="360"/>
          <w:tab w:val="clear" w:pos="1267"/>
          <w:tab w:val="num" w:pos="1260"/>
        </w:tabs>
      </w:pPr>
      <w:r>
        <w:t>Asia</w:t>
      </w:r>
    </w:p>
    <w:p w14:paraId="71F8C2AE" w14:textId="7AE3681C" w:rsidR="00E26FE2" w:rsidRDefault="006049CA" w:rsidP="006049CA">
      <w:pPr>
        <w:pStyle w:val="kj041234"/>
        <w:ind w:hanging="1080"/>
      </w:pPr>
      <w:r w:rsidRPr="00893166">
        <w:rPr>
          <w:rFonts w:cs="Arial"/>
          <w:szCs w:val="22"/>
        </w:rPr>
        <w:t>Greene, Tweed &amp; Co.</w:t>
      </w:r>
      <w:r>
        <w:rPr>
          <w:rFonts w:cs="Arial"/>
          <w:szCs w:val="22"/>
        </w:rPr>
        <w:t xml:space="preserve"> Japan</w:t>
      </w:r>
    </w:p>
    <w:p w14:paraId="26F889D7" w14:textId="0BA83752" w:rsidR="00E26FE2" w:rsidRDefault="006049CA" w:rsidP="006049CA">
      <w:pPr>
        <w:pStyle w:val="kj041234TextOnly"/>
        <w:rPr>
          <w:rFonts w:cs="Arial"/>
          <w:szCs w:val="22"/>
        </w:rPr>
      </w:pPr>
      <w:r w:rsidRPr="00893166">
        <w:rPr>
          <w:rFonts w:cs="Arial"/>
          <w:szCs w:val="22"/>
        </w:rPr>
        <w:t xml:space="preserve">12F PMO </w:t>
      </w:r>
      <w:proofErr w:type="spellStart"/>
      <w:r w:rsidRPr="00893166">
        <w:rPr>
          <w:rFonts w:cs="Arial"/>
          <w:szCs w:val="22"/>
        </w:rPr>
        <w:t>Tamachi</w:t>
      </w:r>
      <w:proofErr w:type="spellEnd"/>
      <w:r w:rsidRPr="00893166">
        <w:rPr>
          <w:rFonts w:cs="Arial"/>
          <w:szCs w:val="22"/>
        </w:rPr>
        <w:t xml:space="preserve"> Center</w:t>
      </w:r>
      <w:r>
        <w:rPr>
          <w:rFonts w:cs="Arial"/>
          <w:szCs w:val="22"/>
        </w:rPr>
        <w:t xml:space="preserve"> Building</w:t>
      </w:r>
    </w:p>
    <w:p w14:paraId="095B9AE5" w14:textId="7502F6E1" w:rsidR="006049CA" w:rsidRDefault="006049CA" w:rsidP="006049CA">
      <w:pPr>
        <w:pStyle w:val="kj041234TextOnly"/>
        <w:rPr>
          <w:rFonts w:cs="Arial"/>
          <w:szCs w:val="22"/>
        </w:rPr>
      </w:pPr>
      <w:r>
        <w:rPr>
          <w:rFonts w:cs="Arial"/>
          <w:szCs w:val="22"/>
        </w:rPr>
        <w:t>5-31-17 Shiba, Minato-ku</w:t>
      </w:r>
    </w:p>
    <w:p w14:paraId="01D780A7" w14:textId="1554879B" w:rsidR="006049CA" w:rsidRDefault="006049CA" w:rsidP="006049CA">
      <w:pPr>
        <w:pStyle w:val="kj041234TextOnly"/>
      </w:pPr>
      <w:r>
        <w:rPr>
          <w:rFonts w:cs="Arial"/>
          <w:szCs w:val="22"/>
        </w:rPr>
        <w:t>Tokyo, 108-0014, Japan</w:t>
      </w:r>
    </w:p>
    <w:p w14:paraId="7539F7CB" w14:textId="508D6680" w:rsidR="00E26FE2" w:rsidRDefault="006049CA" w:rsidP="006049CA">
      <w:pPr>
        <w:pStyle w:val="kj041234"/>
        <w:ind w:hanging="1080"/>
      </w:pPr>
      <w:r w:rsidRPr="00893166">
        <w:rPr>
          <w:rFonts w:cs="Arial"/>
          <w:szCs w:val="22"/>
        </w:rPr>
        <w:t>Greene, Tweed &amp; Co., Pte</w:t>
      </w:r>
      <w:r>
        <w:rPr>
          <w:rFonts w:cs="Arial"/>
          <w:szCs w:val="22"/>
        </w:rPr>
        <w:t xml:space="preserve"> Ltd.</w:t>
      </w:r>
    </w:p>
    <w:p w14:paraId="0B18C5A1" w14:textId="4D12B43E" w:rsidR="00E26FE2" w:rsidRDefault="006049CA" w:rsidP="006049CA">
      <w:pPr>
        <w:pStyle w:val="kj041234TextOnly"/>
        <w:rPr>
          <w:rFonts w:cs="Arial"/>
          <w:szCs w:val="22"/>
        </w:rPr>
      </w:pPr>
      <w:r w:rsidRPr="00893166">
        <w:rPr>
          <w:rFonts w:cs="Arial"/>
          <w:szCs w:val="22"/>
        </w:rPr>
        <w:t>4F &amp; 5F, No.1, Alley 17, Lane 62, Zhonghe</w:t>
      </w:r>
      <w:r>
        <w:rPr>
          <w:rFonts w:cs="Arial"/>
          <w:szCs w:val="22"/>
        </w:rPr>
        <w:t xml:space="preserve"> Street</w:t>
      </w:r>
    </w:p>
    <w:p w14:paraId="7C8E324E" w14:textId="3CE91B6E" w:rsidR="00E26FE2" w:rsidRDefault="006049CA" w:rsidP="00096C9B">
      <w:pPr>
        <w:pStyle w:val="kj041234TextOnly"/>
        <w:rPr>
          <w:rFonts w:cs="Arial"/>
          <w:szCs w:val="22"/>
        </w:rPr>
      </w:pPr>
      <w:r>
        <w:rPr>
          <w:rFonts w:cs="Arial"/>
          <w:szCs w:val="22"/>
        </w:rPr>
        <w:t>Zhubei City, Hsinchu County 30267, Taiwan</w:t>
      </w:r>
    </w:p>
    <w:p w14:paraId="307E6873" w14:textId="77777777" w:rsidR="00DE19AB" w:rsidRDefault="00DE19AB" w:rsidP="00096C9B">
      <w:pPr>
        <w:pStyle w:val="kj041234TextOnly"/>
        <w:rPr>
          <w:rFonts w:cs="Arial"/>
          <w:szCs w:val="22"/>
        </w:rPr>
      </w:pPr>
    </w:p>
    <w:p w14:paraId="3212E79D" w14:textId="77777777" w:rsidR="00DE19AB" w:rsidRDefault="001D5FBA" w:rsidP="00DE19AB">
      <w:hyperlink w:anchor="TableOfContents" w:history="1">
        <w:r w:rsidR="00DE19AB" w:rsidRPr="00066290">
          <w:rPr>
            <w:rStyle w:val="Hyperlink"/>
            <w:rFonts w:cs="Arial"/>
            <w:sz w:val="16"/>
            <w:szCs w:val="14"/>
          </w:rPr>
          <w:t>Return to Table of Contents</w:t>
        </w:r>
      </w:hyperlink>
      <w:r w:rsidR="00DE19AB">
        <w:br w:type="page"/>
      </w:r>
    </w:p>
    <w:p w14:paraId="618BB5D3" w14:textId="2DE1B919" w:rsidR="00E26FE2" w:rsidRDefault="00243B94" w:rsidP="00243B94">
      <w:pPr>
        <w:pStyle w:val="kj0212"/>
        <w:tabs>
          <w:tab w:val="clear" w:pos="360"/>
          <w:tab w:val="clear" w:pos="547"/>
          <w:tab w:val="num" w:pos="540"/>
        </w:tabs>
      </w:pPr>
      <w:bookmarkStart w:id="70" w:name="_Toc161133611"/>
      <w:r>
        <w:t>Industry and Regulatory Standards</w:t>
      </w:r>
      <w:bookmarkEnd w:id="70"/>
    </w:p>
    <w:tbl>
      <w:tblPr>
        <w:tblStyle w:val="TableGrid"/>
        <w:tblW w:w="9630" w:type="dxa"/>
        <w:tblInd w:w="715" w:type="dxa"/>
        <w:tblLayout w:type="fixed"/>
        <w:tblLook w:val="04A0" w:firstRow="1" w:lastRow="0" w:firstColumn="1" w:lastColumn="0" w:noHBand="0" w:noVBand="1"/>
      </w:tblPr>
      <w:tblGrid>
        <w:gridCol w:w="1710"/>
        <w:gridCol w:w="2700"/>
        <w:gridCol w:w="2340"/>
        <w:gridCol w:w="2880"/>
      </w:tblGrid>
      <w:tr w:rsidR="00243B94" w:rsidRPr="00243B94" w14:paraId="29249E5B" w14:textId="77777777" w:rsidTr="00AB1036">
        <w:trPr>
          <w:trHeight w:val="331"/>
        </w:trPr>
        <w:tc>
          <w:tcPr>
            <w:tcW w:w="1710" w:type="dxa"/>
            <w:shd w:val="clear" w:color="auto" w:fill="D9D9D9" w:themeFill="background1" w:themeFillShade="D9"/>
            <w:vAlign w:val="center"/>
          </w:tcPr>
          <w:p w14:paraId="099DAD1A" w14:textId="77777777" w:rsidR="00243B94" w:rsidRPr="00243B94" w:rsidRDefault="00243B94" w:rsidP="00C6356C">
            <w:pPr>
              <w:pStyle w:val="BodyText"/>
              <w:spacing w:after="0"/>
              <w:ind w:left="0" w:right="14"/>
              <w:jc w:val="center"/>
              <w:rPr>
                <w:rFonts w:ascii="Arial" w:hAnsi="Arial" w:cs="Arial"/>
                <w:b/>
                <w:bCs/>
                <w:sz w:val="18"/>
                <w:szCs w:val="18"/>
              </w:rPr>
            </w:pPr>
            <w:r w:rsidRPr="00243B94">
              <w:rPr>
                <w:rFonts w:ascii="Arial" w:hAnsi="Arial" w:cs="Arial"/>
                <w:b/>
                <w:bCs/>
                <w:sz w:val="18"/>
                <w:szCs w:val="18"/>
              </w:rPr>
              <w:t>Name</w:t>
            </w:r>
          </w:p>
        </w:tc>
        <w:tc>
          <w:tcPr>
            <w:tcW w:w="2700" w:type="dxa"/>
            <w:shd w:val="clear" w:color="auto" w:fill="D9D9D9" w:themeFill="background1" w:themeFillShade="D9"/>
            <w:vAlign w:val="center"/>
          </w:tcPr>
          <w:p w14:paraId="01066530" w14:textId="77777777" w:rsidR="00243B94" w:rsidRPr="00243B94" w:rsidRDefault="00243B94" w:rsidP="00C6356C">
            <w:pPr>
              <w:pStyle w:val="BodyText"/>
              <w:spacing w:after="0"/>
              <w:ind w:left="-102" w:right="14"/>
              <w:jc w:val="center"/>
              <w:rPr>
                <w:rFonts w:ascii="Arial" w:hAnsi="Arial" w:cs="Arial"/>
                <w:b/>
                <w:bCs/>
                <w:sz w:val="18"/>
                <w:szCs w:val="18"/>
              </w:rPr>
            </w:pPr>
            <w:r w:rsidRPr="00243B94">
              <w:rPr>
                <w:rFonts w:ascii="Arial" w:hAnsi="Arial" w:cs="Arial"/>
                <w:b/>
                <w:bCs/>
                <w:sz w:val="18"/>
                <w:szCs w:val="18"/>
              </w:rPr>
              <w:t>Description</w:t>
            </w:r>
          </w:p>
        </w:tc>
        <w:tc>
          <w:tcPr>
            <w:tcW w:w="2340" w:type="dxa"/>
            <w:shd w:val="clear" w:color="auto" w:fill="D9D9D9" w:themeFill="background1" w:themeFillShade="D9"/>
            <w:vAlign w:val="center"/>
          </w:tcPr>
          <w:p w14:paraId="6D649264" w14:textId="77777777" w:rsidR="00243B94" w:rsidRPr="00243B94" w:rsidRDefault="00243B94" w:rsidP="00C6356C">
            <w:pPr>
              <w:pStyle w:val="BodyText"/>
              <w:spacing w:after="0"/>
              <w:ind w:left="-102" w:right="14"/>
              <w:jc w:val="center"/>
              <w:rPr>
                <w:rFonts w:ascii="Arial" w:hAnsi="Arial" w:cs="Arial"/>
                <w:b/>
                <w:bCs/>
                <w:sz w:val="18"/>
                <w:szCs w:val="18"/>
              </w:rPr>
            </w:pPr>
            <w:r w:rsidRPr="00243B94">
              <w:rPr>
                <w:rFonts w:ascii="Arial" w:hAnsi="Arial" w:cs="Arial"/>
                <w:b/>
                <w:bCs/>
                <w:sz w:val="18"/>
                <w:szCs w:val="18"/>
              </w:rPr>
              <w:t>Website</w:t>
            </w:r>
          </w:p>
        </w:tc>
        <w:tc>
          <w:tcPr>
            <w:tcW w:w="2880" w:type="dxa"/>
            <w:shd w:val="clear" w:color="auto" w:fill="D9D9D9" w:themeFill="background1" w:themeFillShade="D9"/>
            <w:vAlign w:val="center"/>
          </w:tcPr>
          <w:p w14:paraId="4650E9C2" w14:textId="77777777" w:rsidR="00243B94" w:rsidRPr="00243B94" w:rsidRDefault="00243B94" w:rsidP="00C6356C">
            <w:pPr>
              <w:pStyle w:val="BodyText"/>
              <w:spacing w:after="0"/>
              <w:ind w:left="-102" w:right="14"/>
              <w:jc w:val="center"/>
              <w:rPr>
                <w:rFonts w:ascii="Arial" w:hAnsi="Arial" w:cs="Arial"/>
                <w:b/>
                <w:bCs/>
                <w:sz w:val="18"/>
                <w:szCs w:val="18"/>
              </w:rPr>
            </w:pPr>
            <w:r w:rsidRPr="00243B94">
              <w:rPr>
                <w:rFonts w:ascii="Arial" w:hAnsi="Arial" w:cs="Arial"/>
                <w:b/>
                <w:bCs/>
                <w:sz w:val="18"/>
                <w:szCs w:val="18"/>
              </w:rPr>
              <w:t>Address</w:t>
            </w:r>
          </w:p>
        </w:tc>
      </w:tr>
      <w:tr w:rsidR="00243B94" w:rsidRPr="00243B94" w14:paraId="2F90780A" w14:textId="77777777" w:rsidTr="00232F02">
        <w:tc>
          <w:tcPr>
            <w:tcW w:w="1710" w:type="dxa"/>
          </w:tcPr>
          <w:p w14:paraId="7CDBCB97" w14:textId="77777777" w:rsidR="00243B94" w:rsidRPr="00243B94" w:rsidRDefault="00243B94" w:rsidP="00232F02">
            <w:pPr>
              <w:pStyle w:val="BodyText"/>
              <w:spacing w:before="60" w:after="60" w:line="240" w:lineRule="auto"/>
              <w:ind w:left="0" w:right="14"/>
              <w:rPr>
                <w:rFonts w:ascii="Arial" w:hAnsi="Arial" w:cs="Arial"/>
                <w:sz w:val="18"/>
                <w:szCs w:val="18"/>
              </w:rPr>
            </w:pPr>
            <w:r w:rsidRPr="00243B94">
              <w:rPr>
                <w:rFonts w:ascii="Arial" w:hAnsi="Arial" w:cs="Arial"/>
                <w:sz w:val="18"/>
                <w:szCs w:val="18"/>
              </w:rPr>
              <w:t>Automotive Industry Action Group</w:t>
            </w:r>
          </w:p>
        </w:tc>
        <w:tc>
          <w:tcPr>
            <w:tcW w:w="2700" w:type="dxa"/>
          </w:tcPr>
          <w:p w14:paraId="171E6B73" w14:textId="77777777" w:rsidR="00243B94" w:rsidRPr="00243B94" w:rsidRDefault="00243B94" w:rsidP="00232F02">
            <w:pPr>
              <w:pStyle w:val="BodyText"/>
              <w:spacing w:before="60" w:after="60" w:line="240" w:lineRule="auto"/>
              <w:ind w:left="0" w:right="14"/>
              <w:rPr>
                <w:rFonts w:ascii="Arial" w:hAnsi="Arial" w:cs="Arial"/>
                <w:sz w:val="18"/>
                <w:szCs w:val="18"/>
              </w:rPr>
            </w:pPr>
            <w:r w:rsidRPr="00243B94">
              <w:rPr>
                <w:rFonts w:ascii="Arial" w:hAnsi="Arial" w:cs="Arial"/>
                <w:sz w:val="18"/>
                <w:szCs w:val="18"/>
              </w:rPr>
              <w:t>AIAG guidelines for FMEA, APQP, Control Plans, etc.</w:t>
            </w:r>
          </w:p>
        </w:tc>
        <w:tc>
          <w:tcPr>
            <w:tcW w:w="2340" w:type="dxa"/>
          </w:tcPr>
          <w:p w14:paraId="050CDD8B" w14:textId="77777777" w:rsidR="00243B94" w:rsidRPr="00243B94" w:rsidRDefault="001D5FBA" w:rsidP="00232F02">
            <w:pPr>
              <w:pStyle w:val="BodyText"/>
              <w:spacing w:before="60" w:after="60" w:line="240" w:lineRule="auto"/>
              <w:ind w:left="0" w:right="14"/>
              <w:rPr>
                <w:rStyle w:val="Hyperlink"/>
                <w:rFonts w:ascii="Arial" w:hAnsi="Arial" w:cs="Arial"/>
                <w:sz w:val="18"/>
                <w:szCs w:val="18"/>
              </w:rPr>
            </w:pPr>
            <w:hyperlink r:id="rId31">
              <w:r w:rsidR="00243B94" w:rsidRPr="00243B94">
                <w:rPr>
                  <w:rStyle w:val="Hyperlink"/>
                  <w:rFonts w:ascii="Arial" w:hAnsi="Arial" w:cs="Arial"/>
                  <w:sz w:val="18"/>
                  <w:szCs w:val="18"/>
                </w:rPr>
                <w:t>http://www.aiag.org/</w:t>
              </w:r>
            </w:hyperlink>
          </w:p>
        </w:tc>
        <w:tc>
          <w:tcPr>
            <w:tcW w:w="2880" w:type="dxa"/>
          </w:tcPr>
          <w:p w14:paraId="599BCAE7" w14:textId="77777777" w:rsidR="00243B94" w:rsidRPr="00243B94" w:rsidRDefault="00243B94" w:rsidP="00232F02">
            <w:pPr>
              <w:pStyle w:val="BodyText"/>
              <w:spacing w:before="60" w:after="60" w:line="240" w:lineRule="auto"/>
              <w:ind w:left="0" w:right="14"/>
              <w:rPr>
                <w:rFonts w:ascii="Arial" w:hAnsi="Arial" w:cs="Arial"/>
                <w:sz w:val="18"/>
                <w:szCs w:val="18"/>
              </w:rPr>
            </w:pPr>
            <w:r w:rsidRPr="00243B94">
              <w:rPr>
                <w:rFonts w:ascii="Arial" w:hAnsi="Arial" w:cs="Arial"/>
                <w:sz w:val="18"/>
                <w:szCs w:val="18"/>
              </w:rPr>
              <w:t>26200 Lahser Road, Suite 200,</w:t>
            </w:r>
          </w:p>
          <w:p w14:paraId="48C3DC9B" w14:textId="77777777" w:rsidR="00243B94" w:rsidRPr="00243B94" w:rsidRDefault="00243B94" w:rsidP="00232F02">
            <w:pPr>
              <w:pStyle w:val="BodyText"/>
              <w:spacing w:before="60" w:after="60" w:line="240" w:lineRule="auto"/>
              <w:ind w:left="0" w:right="14"/>
              <w:rPr>
                <w:rFonts w:ascii="Arial" w:hAnsi="Arial" w:cs="Arial"/>
                <w:sz w:val="18"/>
                <w:szCs w:val="18"/>
              </w:rPr>
            </w:pPr>
            <w:r w:rsidRPr="00243B94">
              <w:rPr>
                <w:rFonts w:ascii="Arial" w:hAnsi="Arial" w:cs="Arial"/>
                <w:sz w:val="18"/>
                <w:szCs w:val="18"/>
              </w:rPr>
              <w:t>Southfield, MI</w:t>
            </w:r>
          </w:p>
          <w:p w14:paraId="1CF2F43D" w14:textId="77777777" w:rsidR="00243B94" w:rsidRPr="00243B94" w:rsidRDefault="00243B94" w:rsidP="00232F02">
            <w:pPr>
              <w:pStyle w:val="BodyText"/>
              <w:spacing w:before="60" w:after="60" w:line="240" w:lineRule="auto"/>
              <w:ind w:left="0" w:right="14"/>
              <w:rPr>
                <w:rFonts w:ascii="Arial" w:hAnsi="Arial" w:cs="Arial"/>
                <w:sz w:val="18"/>
                <w:szCs w:val="18"/>
              </w:rPr>
            </w:pPr>
            <w:r w:rsidRPr="00243B94">
              <w:rPr>
                <w:rFonts w:ascii="Arial" w:hAnsi="Arial" w:cs="Arial"/>
                <w:sz w:val="18"/>
                <w:szCs w:val="18"/>
              </w:rPr>
              <w:t>48033-7100 USA</w:t>
            </w:r>
          </w:p>
        </w:tc>
      </w:tr>
      <w:tr w:rsidR="00243B94" w:rsidRPr="00243B94" w14:paraId="0CBC02F2" w14:textId="77777777" w:rsidTr="00232F02">
        <w:tc>
          <w:tcPr>
            <w:tcW w:w="1710" w:type="dxa"/>
          </w:tcPr>
          <w:p w14:paraId="5459F418" w14:textId="77777777" w:rsidR="00243B94" w:rsidRPr="00243B94" w:rsidRDefault="00243B94" w:rsidP="00232F02">
            <w:pPr>
              <w:pStyle w:val="BodyText"/>
              <w:spacing w:before="60" w:after="60" w:line="240" w:lineRule="auto"/>
              <w:ind w:left="0" w:right="14"/>
              <w:rPr>
                <w:rFonts w:ascii="Arial" w:hAnsi="Arial" w:cs="Arial"/>
                <w:sz w:val="18"/>
                <w:szCs w:val="18"/>
              </w:rPr>
            </w:pPr>
            <w:r w:rsidRPr="00243B94">
              <w:rPr>
                <w:rFonts w:ascii="Arial" w:hAnsi="Arial" w:cs="Arial"/>
                <w:sz w:val="18"/>
                <w:szCs w:val="18"/>
              </w:rPr>
              <w:t>American National Standards Institute</w:t>
            </w:r>
          </w:p>
        </w:tc>
        <w:tc>
          <w:tcPr>
            <w:tcW w:w="2700" w:type="dxa"/>
          </w:tcPr>
          <w:p w14:paraId="19F61C1B" w14:textId="77777777" w:rsidR="00243B94" w:rsidRPr="00243B94" w:rsidRDefault="00243B94" w:rsidP="00232F02">
            <w:pPr>
              <w:pStyle w:val="BodyText"/>
              <w:spacing w:before="60" w:after="60" w:line="240" w:lineRule="auto"/>
              <w:ind w:left="0" w:right="14"/>
              <w:rPr>
                <w:rFonts w:ascii="Arial" w:hAnsi="Arial" w:cs="Arial"/>
                <w:sz w:val="18"/>
                <w:szCs w:val="18"/>
              </w:rPr>
            </w:pPr>
            <w:r w:rsidRPr="00243B94">
              <w:rPr>
                <w:rFonts w:ascii="Arial" w:hAnsi="Arial" w:cs="Arial"/>
                <w:sz w:val="18"/>
                <w:szCs w:val="18"/>
              </w:rPr>
              <w:t>ANSI Z1.4</w:t>
            </w:r>
          </w:p>
          <w:p w14:paraId="11A0F40E" w14:textId="77777777" w:rsidR="00243B94" w:rsidRPr="00243B94" w:rsidRDefault="00243B94" w:rsidP="00232F02">
            <w:pPr>
              <w:pStyle w:val="BodyText"/>
              <w:spacing w:before="60" w:after="60" w:line="240" w:lineRule="auto"/>
              <w:ind w:left="0" w:right="14"/>
              <w:rPr>
                <w:rFonts w:ascii="Arial" w:hAnsi="Arial" w:cs="Arial"/>
                <w:sz w:val="18"/>
                <w:szCs w:val="18"/>
              </w:rPr>
            </w:pPr>
            <w:r w:rsidRPr="00243B94">
              <w:rPr>
                <w:rFonts w:ascii="Arial" w:hAnsi="Arial" w:cs="Arial"/>
                <w:sz w:val="18"/>
                <w:szCs w:val="18"/>
              </w:rPr>
              <w:t>Sampling Procedures and Tables for Inspection by Attributes</w:t>
            </w:r>
          </w:p>
          <w:p w14:paraId="66BF720F" w14:textId="77777777" w:rsidR="00243B94" w:rsidRPr="00243B94" w:rsidRDefault="00243B94" w:rsidP="00232F02">
            <w:pPr>
              <w:pStyle w:val="BodyText"/>
              <w:spacing w:before="60" w:after="60" w:line="240" w:lineRule="auto"/>
              <w:ind w:left="0" w:right="14"/>
              <w:rPr>
                <w:rFonts w:ascii="Arial" w:hAnsi="Arial" w:cs="Arial"/>
                <w:sz w:val="18"/>
                <w:szCs w:val="18"/>
              </w:rPr>
            </w:pPr>
          </w:p>
          <w:p w14:paraId="59879366" w14:textId="77777777" w:rsidR="00243B94" w:rsidRPr="00243B94" w:rsidRDefault="00243B94" w:rsidP="00232F02">
            <w:pPr>
              <w:pStyle w:val="BodyText"/>
              <w:spacing w:before="60" w:after="60" w:line="240" w:lineRule="auto"/>
              <w:ind w:left="0" w:right="14"/>
              <w:rPr>
                <w:rFonts w:ascii="Arial" w:hAnsi="Arial" w:cs="Arial"/>
                <w:sz w:val="18"/>
                <w:szCs w:val="18"/>
              </w:rPr>
            </w:pPr>
            <w:r w:rsidRPr="00243B94">
              <w:rPr>
                <w:rFonts w:ascii="Arial" w:hAnsi="Arial" w:cs="Arial"/>
                <w:sz w:val="18"/>
                <w:szCs w:val="18"/>
              </w:rPr>
              <w:t>ANSI/NCSL Z540.3</w:t>
            </w:r>
          </w:p>
          <w:p w14:paraId="412E83C0" w14:textId="77777777" w:rsidR="00243B94" w:rsidRPr="00243B94" w:rsidRDefault="00243B94" w:rsidP="00232F02">
            <w:pPr>
              <w:pStyle w:val="BodyText"/>
              <w:spacing w:before="60" w:after="60" w:line="240" w:lineRule="auto"/>
              <w:ind w:left="0" w:right="14"/>
              <w:rPr>
                <w:rFonts w:ascii="Arial" w:hAnsi="Arial" w:cs="Arial"/>
                <w:sz w:val="18"/>
                <w:szCs w:val="18"/>
              </w:rPr>
            </w:pPr>
            <w:r w:rsidRPr="00243B94">
              <w:rPr>
                <w:rFonts w:ascii="Arial" w:hAnsi="Arial" w:cs="Arial"/>
                <w:sz w:val="18"/>
                <w:szCs w:val="18"/>
              </w:rPr>
              <w:t>Requirements for the Calibration of Measuring and Test Equipment</w:t>
            </w:r>
          </w:p>
        </w:tc>
        <w:tc>
          <w:tcPr>
            <w:tcW w:w="2340" w:type="dxa"/>
          </w:tcPr>
          <w:p w14:paraId="30813278" w14:textId="77777777" w:rsidR="00243B94" w:rsidRPr="00243B94" w:rsidRDefault="001D5FBA" w:rsidP="00232F02">
            <w:pPr>
              <w:pStyle w:val="BodyText"/>
              <w:spacing w:before="60" w:after="60" w:line="240" w:lineRule="auto"/>
              <w:ind w:left="0" w:right="14"/>
              <w:rPr>
                <w:rFonts w:ascii="Arial" w:hAnsi="Arial" w:cs="Arial"/>
                <w:sz w:val="18"/>
                <w:szCs w:val="18"/>
              </w:rPr>
            </w:pPr>
            <w:hyperlink r:id="rId32" w:history="1">
              <w:r w:rsidR="00243B94" w:rsidRPr="00243B94">
                <w:rPr>
                  <w:rStyle w:val="Hyperlink"/>
                  <w:rFonts w:ascii="Arial" w:hAnsi="Arial" w:cs="Arial"/>
                  <w:sz w:val="18"/>
                  <w:szCs w:val="18"/>
                </w:rPr>
                <w:t>http://www.ansi.org/</w:t>
              </w:r>
            </w:hyperlink>
          </w:p>
          <w:p w14:paraId="6779F7A3" w14:textId="77777777" w:rsidR="00243B94" w:rsidRPr="00243B94" w:rsidRDefault="00243B94" w:rsidP="00232F02">
            <w:pPr>
              <w:pStyle w:val="BodyText"/>
              <w:spacing w:before="60" w:after="60" w:line="240" w:lineRule="auto"/>
              <w:ind w:left="0" w:right="14"/>
              <w:rPr>
                <w:rFonts w:ascii="Arial" w:hAnsi="Arial" w:cs="Arial"/>
                <w:sz w:val="18"/>
                <w:szCs w:val="18"/>
              </w:rPr>
            </w:pPr>
          </w:p>
        </w:tc>
        <w:tc>
          <w:tcPr>
            <w:tcW w:w="2880" w:type="dxa"/>
          </w:tcPr>
          <w:p w14:paraId="4D1E2472" w14:textId="77777777" w:rsidR="00243B94" w:rsidRPr="00243B94" w:rsidRDefault="00243B94" w:rsidP="00232F02">
            <w:pPr>
              <w:pStyle w:val="BodyText"/>
              <w:spacing w:before="60" w:after="60" w:line="240" w:lineRule="auto"/>
              <w:ind w:left="0" w:right="14"/>
              <w:rPr>
                <w:rFonts w:ascii="Arial" w:hAnsi="Arial" w:cs="Arial"/>
                <w:sz w:val="18"/>
                <w:szCs w:val="18"/>
              </w:rPr>
            </w:pPr>
            <w:r w:rsidRPr="00243B94">
              <w:rPr>
                <w:rFonts w:ascii="Arial" w:hAnsi="Arial" w:cs="Arial"/>
                <w:sz w:val="18"/>
                <w:szCs w:val="18"/>
              </w:rPr>
              <w:t>1899 L Street, NW</w:t>
            </w:r>
          </w:p>
          <w:p w14:paraId="18690966" w14:textId="77777777" w:rsidR="00243B94" w:rsidRPr="00243B94" w:rsidRDefault="00243B94" w:rsidP="00232F02">
            <w:pPr>
              <w:pStyle w:val="BodyText"/>
              <w:spacing w:before="60" w:after="60" w:line="240" w:lineRule="auto"/>
              <w:ind w:left="0" w:right="14"/>
              <w:rPr>
                <w:rFonts w:ascii="Arial" w:hAnsi="Arial" w:cs="Arial"/>
                <w:sz w:val="18"/>
                <w:szCs w:val="18"/>
              </w:rPr>
            </w:pPr>
            <w:r w:rsidRPr="00243B94">
              <w:rPr>
                <w:rFonts w:ascii="Arial" w:hAnsi="Arial" w:cs="Arial"/>
                <w:sz w:val="18"/>
                <w:szCs w:val="18"/>
              </w:rPr>
              <w:t xml:space="preserve">Washington, DC </w:t>
            </w:r>
          </w:p>
          <w:p w14:paraId="109A5BAF" w14:textId="77777777" w:rsidR="00243B94" w:rsidRPr="00243B94" w:rsidRDefault="00243B94" w:rsidP="00232F02">
            <w:pPr>
              <w:pStyle w:val="BodyText"/>
              <w:spacing w:before="60" w:after="60" w:line="240" w:lineRule="auto"/>
              <w:ind w:left="0" w:right="14"/>
              <w:rPr>
                <w:rFonts w:ascii="Arial" w:hAnsi="Arial" w:cs="Arial"/>
                <w:sz w:val="18"/>
                <w:szCs w:val="18"/>
              </w:rPr>
            </w:pPr>
            <w:r w:rsidRPr="00243B94">
              <w:rPr>
                <w:rFonts w:ascii="Arial" w:hAnsi="Arial" w:cs="Arial"/>
                <w:sz w:val="18"/>
                <w:szCs w:val="18"/>
              </w:rPr>
              <w:t>20036 USA</w:t>
            </w:r>
          </w:p>
        </w:tc>
      </w:tr>
      <w:tr w:rsidR="00243B94" w:rsidRPr="00243B94" w14:paraId="37C17B6A" w14:textId="77777777" w:rsidTr="00232F02">
        <w:tc>
          <w:tcPr>
            <w:tcW w:w="1710" w:type="dxa"/>
          </w:tcPr>
          <w:p w14:paraId="23C9C480" w14:textId="77777777" w:rsidR="00243B94" w:rsidRPr="00243B94" w:rsidRDefault="00243B94" w:rsidP="00232F02">
            <w:pPr>
              <w:pStyle w:val="BodyText"/>
              <w:spacing w:before="60" w:after="60" w:line="240" w:lineRule="auto"/>
              <w:ind w:left="0" w:right="14"/>
              <w:rPr>
                <w:rFonts w:ascii="Arial" w:hAnsi="Arial" w:cs="Arial"/>
                <w:sz w:val="18"/>
                <w:szCs w:val="18"/>
              </w:rPr>
            </w:pPr>
            <w:r w:rsidRPr="00243B94">
              <w:rPr>
                <w:rFonts w:ascii="Arial" w:hAnsi="Arial" w:cs="Arial"/>
                <w:sz w:val="18"/>
                <w:szCs w:val="18"/>
              </w:rPr>
              <w:t>American Society of Mechanical Engineers</w:t>
            </w:r>
          </w:p>
        </w:tc>
        <w:tc>
          <w:tcPr>
            <w:tcW w:w="2700" w:type="dxa"/>
          </w:tcPr>
          <w:p w14:paraId="0E841A06" w14:textId="77777777" w:rsidR="00243B94" w:rsidRPr="00243B94" w:rsidRDefault="00243B94" w:rsidP="00232F02">
            <w:pPr>
              <w:pStyle w:val="BodyText"/>
              <w:spacing w:before="60" w:after="60" w:line="240" w:lineRule="auto"/>
              <w:ind w:left="0" w:right="10"/>
              <w:rPr>
                <w:rFonts w:ascii="Arial" w:hAnsi="Arial" w:cs="Arial"/>
                <w:sz w:val="18"/>
                <w:szCs w:val="18"/>
              </w:rPr>
            </w:pPr>
            <w:r w:rsidRPr="00243B94">
              <w:rPr>
                <w:rFonts w:ascii="Arial" w:hAnsi="Arial" w:cs="Arial"/>
                <w:sz w:val="18"/>
                <w:szCs w:val="18"/>
              </w:rPr>
              <w:t>ASME</w:t>
            </w:r>
            <w:r w:rsidRPr="00243B94">
              <w:rPr>
                <w:rFonts w:ascii="Arial" w:hAnsi="Arial" w:cs="Arial"/>
                <w:spacing w:val="-35"/>
                <w:sz w:val="18"/>
                <w:szCs w:val="18"/>
              </w:rPr>
              <w:t xml:space="preserve"> </w:t>
            </w:r>
            <w:r w:rsidRPr="00243B94">
              <w:rPr>
                <w:rFonts w:ascii="Arial" w:hAnsi="Arial" w:cs="Arial"/>
                <w:sz w:val="18"/>
                <w:szCs w:val="18"/>
              </w:rPr>
              <w:t>Y14.5</w:t>
            </w:r>
          </w:p>
          <w:p w14:paraId="7CE72281" w14:textId="77777777" w:rsidR="00243B94" w:rsidRPr="00243B94" w:rsidRDefault="00243B94" w:rsidP="00232F02">
            <w:pPr>
              <w:pStyle w:val="BodyText"/>
              <w:spacing w:before="60" w:after="60" w:line="240" w:lineRule="auto"/>
              <w:ind w:left="0" w:right="10"/>
              <w:rPr>
                <w:rFonts w:ascii="Arial" w:hAnsi="Arial" w:cs="Arial"/>
                <w:sz w:val="18"/>
                <w:szCs w:val="18"/>
              </w:rPr>
            </w:pPr>
            <w:r w:rsidRPr="00243B94">
              <w:rPr>
                <w:rFonts w:ascii="Arial" w:hAnsi="Arial" w:cs="Arial"/>
                <w:sz w:val="18"/>
                <w:szCs w:val="18"/>
              </w:rPr>
              <w:t>Geometric</w:t>
            </w:r>
            <w:r w:rsidRPr="00243B94">
              <w:rPr>
                <w:rFonts w:ascii="Arial" w:hAnsi="Arial" w:cs="Arial"/>
                <w:spacing w:val="-35"/>
                <w:sz w:val="18"/>
                <w:szCs w:val="18"/>
              </w:rPr>
              <w:t xml:space="preserve"> </w:t>
            </w:r>
            <w:r w:rsidRPr="00243B94">
              <w:rPr>
                <w:rFonts w:ascii="Arial" w:hAnsi="Arial" w:cs="Arial"/>
                <w:sz w:val="18"/>
                <w:szCs w:val="18"/>
              </w:rPr>
              <w:t>Dimensioning</w:t>
            </w:r>
            <w:r w:rsidRPr="00243B94">
              <w:rPr>
                <w:rFonts w:ascii="Arial" w:hAnsi="Arial" w:cs="Arial"/>
                <w:spacing w:val="-35"/>
                <w:sz w:val="18"/>
                <w:szCs w:val="18"/>
              </w:rPr>
              <w:t xml:space="preserve"> </w:t>
            </w:r>
            <w:r w:rsidRPr="00243B94">
              <w:rPr>
                <w:rFonts w:ascii="Arial" w:hAnsi="Arial" w:cs="Arial"/>
                <w:sz w:val="18"/>
                <w:szCs w:val="18"/>
              </w:rPr>
              <w:t>and</w:t>
            </w:r>
            <w:r w:rsidRPr="00243B94">
              <w:rPr>
                <w:rFonts w:ascii="Arial" w:hAnsi="Arial" w:cs="Arial"/>
                <w:spacing w:val="-35"/>
                <w:sz w:val="18"/>
                <w:szCs w:val="18"/>
              </w:rPr>
              <w:t xml:space="preserve"> </w:t>
            </w:r>
            <w:r w:rsidRPr="00243B94">
              <w:rPr>
                <w:rFonts w:ascii="Arial" w:hAnsi="Arial" w:cs="Arial"/>
                <w:sz w:val="18"/>
                <w:szCs w:val="18"/>
              </w:rPr>
              <w:t>Tolerancing</w:t>
            </w:r>
          </w:p>
          <w:p w14:paraId="4A23B642" w14:textId="77777777" w:rsidR="00243B94" w:rsidRPr="00243B94" w:rsidRDefault="00243B94" w:rsidP="00232F02">
            <w:pPr>
              <w:pStyle w:val="BodyText"/>
              <w:spacing w:before="60" w:after="60" w:line="240" w:lineRule="auto"/>
              <w:ind w:left="0" w:right="10"/>
              <w:rPr>
                <w:rFonts w:ascii="Arial" w:hAnsi="Arial" w:cs="Arial"/>
                <w:w w:val="95"/>
                <w:sz w:val="18"/>
                <w:szCs w:val="18"/>
              </w:rPr>
            </w:pPr>
          </w:p>
          <w:p w14:paraId="5713E482" w14:textId="77777777" w:rsidR="00243B94" w:rsidRPr="00243B94" w:rsidRDefault="00243B94" w:rsidP="00232F02">
            <w:pPr>
              <w:pStyle w:val="BodyText"/>
              <w:spacing w:before="60" w:after="60" w:line="240" w:lineRule="auto"/>
              <w:ind w:left="0" w:right="10"/>
              <w:rPr>
                <w:rFonts w:ascii="Arial" w:hAnsi="Arial" w:cs="Arial"/>
                <w:w w:val="95"/>
                <w:sz w:val="18"/>
                <w:szCs w:val="18"/>
              </w:rPr>
            </w:pPr>
            <w:r w:rsidRPr="00243B94">
              <w:rPr>
                <w:rFonts w:ascii="Arial" w:hAnsi="Arial" w:cs="Arial"/>
                <w:w w:val="95"/>
                <w:sz w:val="18"/>
                <w:szCs w:val="18"/>
              </w:rPr>
              <w:t>ASME Y14.100</w:t>
            </w:r>
          </w:p>
          <w:p w14:paraId="31322399" w14:textId="77777777" w:rsidR="00243B94" w:rsidRPr="00243B94" w:rsidRDefault="00243B94" w:rsidP="00232F02">
            <w:pPr>
              <w:pStyle w:val="BodyText"/>
              <w:spacing w:before="60" w:after="60" w:line="240" w:lineRule="auto"/>
              <w:ind w:left="0" w:right="10"/>
              <w:rPr>
                <w:rFonts w:ascii="Arial" w:hAnsi="Arial" w:cs="Arial"/>
                <w:sz w:val="18"/>
                <w:szCs w:val="18"/>
              </w:rPr>
            </w:pPr>
            <w:r w:rsidRPr="00243B94">
              <w:rPr>
                <w:rFonts w:ascii="Arial" w:hAnsi="Arial" w:cs="Arial"/>
                <w:w w:val="95"/>
                <w:sz w:val="18"/>
                <w:szCs w:val="18"/>
              </w:rPr>
              <w:t>Engineering Drawing Practices</w:t>
            </w:r>
          </w:p>
        </w:tc>
        <w:tc>
          <w:tcPr>
            <w:tcW w:w="2340" w:type="dxa"/>
          </w:tcPr>
          <w:p w14:paraId="6B8C6C49" w14:textId="77777777" w:rsidR="00243B94" w:rsidRPr="00243B94" w:rsidRDefault="001D5FBA" w:rsidP="00232F02">
            <w:pPr>
              <w:pStyle w:val="BodyText"/>
              <w:spacing w:before="60" w:after="60" w:line="240" w:lineRule="auto"/>
              <w:ind w:left="0" w:right="10"/>
              <w:rPr>
                <w:rFonts w:ascii="Arial" w:hAnsi="Arial" w:cs="Arial"/>
                <w:sz w:val="18"/>
                <w:szCs w:val="18"/>
              </w:rPr>
            </w:pPr>
            <w:hyperlink r:id="rId33" w:history="1">
              <w:r w:rsidR="00243B94" w:rsidRPr="00243B94">
                <w:rPr>
                  <w:rStyle w:val="Hyperlink"/>
                  <w:rFonts w:ascii="Arial" w:hAnsi="Arial" w:cs="Arial"/>
                  <w:sz w:val="18"/>
                  <w:szCs w:val="18"/>
                </w:rPr>
                <w:t>http://www.asme.org/</w:t>
              </w:r>
            </w:hyperlink>
          </w:p>
          <w:p w14:paraId="05232635" w14:textId="77777777" w:rsidR="00243B94" w:rsidRPr="00243B94" w:rsidRDefault="00243B94" w:rsidP="00232F02">
            <w:pPr>
              <w:pStyle w:val="BodyText"/>
              <w:spacing w:before="60" w:after="60" w:line="240" w:lineRule="auto"/>
              <w:ind w:left="0" w:right="10"/>
              <w:rPr>
                <w:rFonts w:ascii="Arial" w:hAnsi="Arial" w:cs="Arial"/>
                <w:sz w:val="18"/>
                <w:szCs w:val="18"/>
              </w:rPr>
            </w:pPr>
          </w:p>
        </w:tc>
        <w:tc>
          <w:tcPr>
            <w:tcW w:w="2880" w:type="dxa"/>
          </w:tcPr>
          <w:p w14:paraId="307D7222" w14:textId="77777777" w:rsidR="00243B94" w:rsidRPr="00243B94" w:rsidRDefault="00243B94" w:rsidP="00232F02">
            <w:pPr>
              <w:pStyle w:val="BodyText"/>
              <w:spacing w:before="60" w:after="60" w:line="240" w:lineRule="auto"/>
              <w:ind w:left="0" w:right="10"/>
              <w:rPr>
                <w:rFonts w:ascii="Arial" w:hAnsi="Arial" w:cs="Arial"/>
                <w:sz w:val="18"/>
                <w:szCs w:val="18"/>
              </w:rPr>
            </w:pPr>
            <w:r w:rsidRPr="00243B94">
              <w:rPr>
                <w:rFonts w:ascii="Arial" w:hAnsi="Arial" w:cs="Arial"/>
                <w:sz w:val="18"/>
                <w:szCs w:val="18"/>
              </w:rPr>
              <w:t>3 Park Avenue</w:t>
            </w:r>
          </w:p>
          <w:p w14:paraId="579042A4" w14:textId="77777777" w:rsidR="00243B94" w:rsidRPr="00243B94" w:rsidRDefault="00243B94" w:rsidP="00232F02">
            <w:pPr>
              <w:pStyle w:val="BodyText"/>
              <w:spacing w:before="60" w:after="60" w:line="240" w:lineRule="auto"/>
              <w:ind w:left="0" w:right="10"/>
              <w:rPr>
                <w:rFonts w:ascii="Arial" w:hAnsi="Arial" w:cs="Arial"/>
                <w:sz w:val="18"/>
                <w:szCs w:val="18"/>
              </w:rPr>
            </w:pPr>
            <w:r w:rsidRPr="00243B94">
              <w:rPr>
                <w:rFonts w:ascii="Arial" w:hAnsi="Arial" w:cs="Arial"/>
                <w:sz w:val="18"/>
                <w:szCs w:val="18"/>
              </w:rPr>
              <w:t xml:space="preserve">New York, NY </w:t>
            </w:r>
          </w:p>
          <w:p w14:paraId="54596192" w14:textId="77777777" w:rsidR="00243B94" w:rsidRPr="00243B94" w:rsidRDefault="00243B94" w:rsidP="00232F02">
            <w:pPr>
              <w:pStyle w:val="BodyText"/>
              <w:spacing w:before="60" w:after="60" w:line="240" w:lineRule="auto"/>
              <w:ind w:left="0" w:right="10"/>
              <w:rPr>
                <w:rFonts w:ascii="Arial" w:hAnsi="Arial" w:cs="Arial"/>
                <w:sz w:val="18"/>
                <w:szCs w:val="18"/>
              </w:rPr>
            </w:pPr>
            <w:r w:rsidRPr="00243B94">
              <w:rPr>
                <w:rFonts w:ascii="Arial" w:hAnsi="Arial" w:cs="Arial"/>
                <w:sz w:val="18"/>
                <w:szCs w:val="18"/>
              </w:rPr>
              <w:t>10016-5990 USA</w:t>
            </w:r>
          </w:p>
          <w:p w14:paraId="04010FA2" w14:textId="77777777" w:rsidR="00243B94" w:rsidRPr="00243B94" w:rsidRDefault="00243B94" w:rsidP="00232F02">
            <w:pPr>
              <w:pStyle w:val="BodyText"/>
              <w:spacing w:before="60" w:after="60" w:line="240" w:lineRule="auto"/>
              <w:ind w:left="0" w:right="14"/>
              <w:rPr>
                <w:rFonts w:ascii="Arial" w:hAnsi="Arial" w:cs="Arial"/>
                <w:sz w:val="18"/>
                <w:szCs w:val="18"/>
              </w:rPr>
            </w:pPr>
          </w:p>
        </w:tc>
      </w:tr>
      <w:tr w:rsidR="00243B94" w:rsidRPr="00243B94" w14:paraId="7640FC95" w14:textId="77777777" w:rsidTr="00232F02">
        <w:tc>
          <w:tcPr>
            <w:tcW w:w="1710" w:type="dxa"/>
          </w:tcPr>
          <w:p w14:paraId="14A868E1" w14:textId="77777777" w:rsidR="00243B94" w:rsidRPr="00243B94" w:rsidRDefault="00243B94" w:rsidP="00232F02">
            <w:pPr>
              <w:pStyle w:val="BodyText"/>
              <w:spacing w:before="60" w:after="60" w:line="240" w:lineRule="auto"/>
              <w:ind w:left="0" w:right="10"/>
              <w:rPr>
                <w:rFonts w:ascii="Arial" w:hAnsi="Arial" w:cs="Arial"/>
                <w:sz w:val="18"/>
                <w:szCs w:val="18"/>
              </w:rPr>
            </w:pPr>
            <w:r w:rsidRPr="00243B94">
              <w:rPr>
                <w:rFonts w:ascii="Arial" w:hAnsi="Arial" w:cs="Arial"/>
                <w:sz w:val="18"/>
                <w:szCs w:val="18"/>
              </w:rPr>
              <w:t xml:space="preserve">American Society for Testing and Materials </w:t>
            </w:r>
          </w:p>
        </w:tc>
        <w:tc>
          <w:tcPr>
            <w:tcW w:w="2700" w:type="dxa"/>
          </w:tcPr>
          <w:p w14:paraId="1BCC2B46" w14:textId="7F5A0C05" w:rsidR="00243B94" w:rsidRPr="00243B94" w:rsidRDefault="00243B94" w:rsidP="00232F02">
            <w:pPr>
              <w:pStyle w:val="BodyText"/>
              <w:spacing w:before="60" w:after="60" w:line="240" w:lineRule="auto"/>
              <w:ind w:left="0" w:right="10"/>
              <w:rPr>
                <w:rFonts w:ascii="Arial" w:hAnsi="Arial" w:cs="Arial"/>
                <w:sz w:val="18"/>
                <w:szCs w:val="18"/>
              </w:rPr>
            </w:pPr>
            <w:r w:rsidRPr="00243B94">
              <w:rPr>
                <w:rFonts w:ascii="Arial" w:hAnsi="Arial" w:cs="Arial"/>
                <w:sz w:val="18"/>
                <w:szCs w:val="18"/>
              </w:rPr>
              <w:t xml:space="preserve">ASTM Materials </w:t>
            </w:r>
            <w:r w:rsidR="00AB073A">
              <w:rPr>
                <w:rFonts w:ascii="Arial" w:hAnsi="Arial" w:cs="Arial"/>
                <w:sz w:val="18"/>
                <w:szCs w:val="18"/>
              </w:rPr>
              <w:t>and</w:t>
            </w:r>
            <w:r w:rsidRPr="00243B94">
              <w:rPr>
                <w:rFonts w:ascii="Arial" w:hAnsi="Arial" w:cs="Arial"/>
                <w:sz w:val="18"/>
                <w:szCs w:val="18"/>
              </w:rPr>
              <w:t xml:space="preserve"> Testing Specifications</w:t>
            </w:r>
          </w:p>
        </w:tc>
        <w:tc>
          <w:tcPr>
            <w:tcW w:w="2340" w:type="dxa"/>
          </w:tcPr>
          <w:p w14:paraId="02A4E45D" w14:textId="77777777" w:rsidR="00243B94" w:rsidRPr="00243B94" w:rsidRDefault="001D5FBA" w:rsidP="00232F02">
            <w:pPr>
              <w:pStyle w:val="BodyText"/>
              <w:spacing w:before="60" w:after="60" w:line="240" w:lineRule="auto"/>
              <w:ind w:left="0" w:right="10"/>
              <w:rPr>
                <w:rFonts w:ascii="Arial" w:hAnsi="Arial" w:cs="Arial"/>
                <w:sz w:val="18"/>
                <w:szCs w:val="18"/>
              </w:rPr>
            </w:pPr>
            <w:hyperlink r:id="rId34" w:history="1">
              <w:r w:rsidR="00243B94" w:rsidRPr="00243B94">
                <w:rPr>
                  <w:rStyle w:val="Hyperlink"/>
                  <w:rFonts w:ascii="Arial" w:hAnsi="Arial" w:cs="Arial"/>
                  <w:sz w:val="18"/>
                  <w:szCs w:val="18"/>
                </w:rPr>
                <w:t>http://www.astm.org/</w:t>
              </w:r>
            </w:hyperlink>
          </w:p>
          <w:p w14:paraId="0AD985A7" w14:textId="77777777" w:rsidR="00243B94" w:rsidRPr="00243B94" w:rsidRDefault="00243B94" w:rsidP="00232F02">
            <w:pPr>
              <w:pStyle w:val="BodyText"/>
              <w:spacing w:before="60" w:after="60" w:line="240" w:lineRule="auto"/>
              <w:ind w:left="0" w:right="10"/>
              <w:rPr>
                <w:rFonts w:ascii="Arial" w:hAnsi="Arial" w:cs="Arial"/>
                <w:sz w:val="18"/>
                <w:szCs w:val="18"/>
              </w:rPr>
            </w:pPr>
          </w:p>
        </w:tc>
        <w:tc>
          <w:tcPr>
            <w:tcW w:w="2880" w:type="dxa"/>
          </w:tcPr>
          <w:p w14:paraId="55E8FE2F" w14:textId="77777777" w:rsidR="00243B94" w:rsidRPr="00243B94" w:rsidRDefault="00243B94" w:rsidP="00232F02">
            <w:pPr>
              <w:pStyle w:val="BodyText"/>
              <w:spacing w:before="60" w:after="60" w:line="240" w:lineRule="auto"/>
              <w:ind w:left="0" w:right="10"/>
              <w:rPr>
                <w:rFonts w:ascii="Arial" w:hAnsi="Arial" w:cs="Arial"/>
                <w:sz w:val="18"/>
                <w:szCs w:val="18"/>
              </w:rPr>
            </w:pPr>
            <w:r w:rsidRPr="00243B94">
              <w:rPr>
                <w:rFonts w:ascii="Arial" w:hAnsi="Arial" w:cs="Arial"/>
                <w:sz w:val="18"/>
                <w:szCs w:val="18"/>
              </w:rPr>
              <w:t>100 Barr Harbor Drive</w:t>
            </w:r>
          </w:p>
          <w:p w14:paraId="666C297A" w14:textId="77777777" w:rsidR="00243B94" w:rsidRPr="00243B94" w:rsidRDefault="00243B94" w:rsidP="00232F02">
            <w:pPr>
              <w:pStyle w:val="BodyText"/>
              <w:spacing w:before="60" w:after="60" w:line="240" w:lineRule="auto"/>
              <w:ind w:left="0" w:right="10"/>
              <w:rPr>
                <w:rFonts w:ascii="Arial" w:hAnsi="Arial" w:cs="Arial"/>
                <w:sz w:val="18"/>
                <w:szCs w:val="18"/>
              </w:rPr>
            </w:pPr>
            <w:r w:rsidRPr="00243B94">
              <w:rPr>
                <w:rFonts w:ascii="Arial" w:hAnsi="Arial" w:cs="Arial"/>
                <w:sz w:val="18"/>
                <w:szCs w:val="18"/>
              </w:rPr>
              <w:t>PO Box C700</w:t>
            </w:r>
          </w:p>
          <w:p w14:paraId="5E802B20" w14:textId="77777777" w:rsidR="00243B94" w:rsidRPr="00243B94" w:rsidRDefault="00243B94" w:rsidP="00232F02">
            <w:pPr>
              <w:pStyle w:val="BodyText"/>
              <w:spacing w:before="60" w:after="60" w:line="240" w:lineRule="auto"/>
              <w:ind w:left="0" w:right="10"/>
              <w:rPr>
                <w:rFonts w:ascii="Arial" w:hAnsi="Arial" w:cs="Arial"/>
                <w:sz w:val="18"/>
                <w:szCs w:val="18"/>
              </w:rPr>
            </w:pPr>
            <w:r w:rsidRPr="00243B94">
              <w:rPr>
                <w:rFonts w:ascii="Arial" w:hAnsi="Arial" w:cs="Arial"/>
                <w:sz w:val="18"/>
                <w:szCs w:val="18"/>
              </w:rPr>
              <w:t>West Conshohocken, PA</w:t>
            </w:r>
          </w:p>
          <w:p w14:paraId="7603437D" w14:textId="77777777" w:rsidR="00243B94" w:rsidRPr="00243B94" w:rsidRDefault="00243B94" w:rsidP="00232F02">
            <w:pPr>
              <w:pStyle w:val="BodyText"/>
              <w:spacing w:before="60" w:after="60" w:line="240" w:lineRule="auto"/>
              <w:ind w:left="0" w:right="10"/>
              <w:rPr>
                <w:rFonts w:ascii="Arial" w:hAnsi="Arial" w:cs="Arial"/>
                <w:sz w:val="18"/>
                <w:szCs w:val="18"/>
              </w:rPr>
            </w:pPr>
            <w:r w:rsidRPr="00243B94">
              <w:rPr>
                <w:rFonts w:ascii="Arial" w:hAnsi="Arial" w:cs="Arial"/>
                <w:sz w:val="18"/>
                <w:szCs w:val="18"/>
              </w:rPr>
              <w:t>19428-2959 USA</w:t>
            </w:r>
          </w:p>
        </w:tc>
      </w:tr>
      <w:tr w:rsidR="00243B94" w:rsidRPr="00243B94" w14:paraId="24FF92F5" w14:textId="77777777" w:rsidTr="00232F02">
        <w:tc>
          <w:tcPr>
            <w:tcW w:w="1710" w:type="dxa"/>
          </w:tcPr>
          <w:p w14:paraId="3626C8CE" w14:textId="77777777" w:rsidR="00243B94" w:rsidRPr="00243B94" w:rsidRDefault="00243B94" w:rsidP="00232F02">
            <w:pPr>
              <w:pStyle w:val="BodyText"/>
              <w:spacing w:before="60" w:after="60" w:line="240" w:lineRule="auto"/>
              <w:ind w:left="0" w:right="10"/>
              <w:rPr>
                <w:rFonts w:ascii="Arial" w:hAnsi="Arial" w:cs="Arial"/>
                <w:sz w:val="18"/>
                <w:szCs w:val="18"/>
              </w:rPr>
            </w:pPr>
            <w:r w:rsidRPr="00243B94">
              <w:rPr>
                <w:rFonts w:ascii="Arial" w:hAnsi="Arial" w:cs="Arial"/>
                <w:sz w:val="18"/>
                <w:szCs w:val="18"/>
              </w:rPr>
              <w:t xml:space="preserve">European Committee for Standardization </w:t>
            </w:r>
          </w:p>
        </w:tc>
        <w:tc>
          <w:tcPr>
            <w:tcW w:w="2700" w:type="dxa"/>
          </w:tcPr>
          <w:p w14:paraId="08F2573D" w14:textId="77777777" w:rsidR="00243B94" w:rsidRPr="00243B94" w:rsidRDefault="00243B94" w:rsidP="00232F02">
            <w:pPr>
              <w:pStyle w:val="BodyText"/>
              <w:spacing w:before="60" w:after="60" w:line="240" w:lineRule="auto"/>
              <w:ind w:left="0" w:right="10"/>
              <w:rPr>
                <w:rFonts w:ascii="Arial" w:hAnsi="Arial" w:cs="Arial"/>
                <w:sz w:val="18"/>
                <w:szCs w:val="18"/>
              </w:rPr>
            </w:pPr>
            <w:r w:rsidRPr="00243B94">
              <w:rPr>
                <w:rFonts w:ascii="Arial" w:hAnsi="Arial" w:cs="Arial"/>
                <w:sz w:val="18"/>
                <w:szCs w:val="18"/>
              </w:rPr>
              <w:t>European Standard (EN) specifications</w:t>
            </w:r>
          </w:p>
        </w:tc>
        <w:tc>
          <w:tcPr>
            <w:tcW w:w="2340" w:type="dxa"/>
          </w:tcPr>
          <w:p w14:paraId="54096ED0" w14:textId="77777777" w:rsidR="00243B94" w:rsidRPr="00243B94" w:rsidRDefault="001D5FBA" w:rsidP="00232F02">
            <w:pPr>
              <w:pStyle w:val="BodyText"/>
              <w:spacing w:before="60" w:after="60" w:line="240" w:lineRule="auto"/>
              <w:ind w:left="0" w:right="10"/>
              <w:rPr>
                <w:rFonts w:ascii="Arial" w:hAnsi="Arial" w:cs="Arial"/>
                <w:sz w:val="18"/>
                <w:szCs w:val="18"/>
              </w:rPr>
            </w:pPr>
            <w:hyperlink r:id="rId35" w:history="1">
              <w:r w:rsidR="00243B94" w:rsidRPr="00243B94">
                <w:rPr>
                  <w:rStyle w:val="Hyperlink"/>
                  <w:rFonts w:ascii="Arial" w:hAnsi="Arial" w:cs="Arial"/>
                  <w:sz w:val="18"/>
                  <w:szCs w:val="18"/>
                </w:rPr>
                <w:t>http://www.cen.eu/</w:t>
              </w:r>
            </w:hyperlink>
          </w:p>
        </w:tc>
        <w:tc>
          <w:tcPr>
            <w:tcW w:w="2880" w:type="dxa"/>
          </w:tcPr>
          <w:p w14:paraId="08ED0F7C" w14:textId="77777777" w:rsidR="00243B94" w:rsidRPr="00243B94" w:rsidRDefault="00243B94" w:rsidP="00232F02">
            <w:pPr>
              <w:pStyle w:val="BodyText"/>
              <w:spacing w:before="60" w:after="60" w:line="240" w:lineRule="auto"/>
              <w:ind w:left="0" w:right="10"/>
              <w:rPr>
                <w:rFonts w:ascii="Arial" w:hAnsi="Arial" w:cs="Arial"/>
                <w:sz w:val="18"/>
                <w:szCs w:val="18"/>
              </w:rPr>
            </w:pPr>
            <w:r w:rsidRPr="00243B94">
              <w:rPr>
                <w:rFonts w:ascii="Arial" w:hAnsi="Arial" w:cs="Arial"/>
                <w:sz w:val="18"/>
                <w:szCs w:val="18"/>
              </w:rPr>
              <w:t xml:space="preserve">CEN-CENELEC Management Center </w:t>
            </w:r>
          </w:p>
          <w:p w14:paraId="0977CD6F" w14:textId="77777777" w:rsidR="00243B94" w:rsidRPr="00243B94" w:rsidRDefault="00243B94" w:rsidP="00232F02">
            <w:pPr>
              <w:pStyle w:val="BodyText"/>
              <w:spacing w:before="60" w:after="60" w:line="240" w:lineRule="auto"/>
              <w:ind w:left="0" w:right="10"/>
              <w:rPr>
                <w:rFonts w:ascii="Arial" w:hAnsi="Arial" w:cs="Arial"/>
                <w:sz w:val="18"/>
                <w:szCs w:val="18"/>
              </w:rPr>
            </w:pPr>
            <w:r w:rsidRPr="00243B94">
              <w:rPr>
                <w:rFonts w:ascii="Arial" w:hAnsi="Arial" w:cs="Arial"/>
                <w:sz w:val="18"/>
                <w:szCs w:val="18"/>
              </w:rPr>
              <w:t>Avenue Marnix 17</w:t>
            </w:r>
          </w:p>
          <w:p w14:paraId="5410D671" w14:textId="77777777" w:rsidR="00243B94" w:rsidRPr="00243B94" w:rsidRDefault="00243B94" w:rsidP="00232F02">
            <w:pPr>
              <w:pStyle w:val="BodyText"/>
              <w:spacing w:before="60" w:after="60" w:line="240" w:lineRule="auto"/>
              <w:ind w:left="0" w:right="10"/>
              <w:rPr>
                <w:rFonts w:ascii="Arial" w:hAnsi="Arial" w:cs="Arial"/>
                <w:sz w:val="18"/>
                <w:szCs w:val="18"/>
              </w:rPr>
            </w:pPr>
            <w:r w:rsidRPr="00243B94">
              <w:rPr>
                <w:rFonts w:ascii="Arial" w:hAnsi="Arial" w:cs="Arial"/>
                <w:sz w:val="18"/>
                <w:szCs w:val="18"/>
              </w:rPr>
              <w:t xml:space="preserve">B-1000 Brussels Belgium </w:t>
            </w:r>
          </w:p>
        </w:tc>
      </w:tr>
      <w:tr w:rsidR="00243B94" w:rsidRPr="00243B94" w14:paraId="042A8E3F" w14:textId="77777777" w:rsidTr="00232F02">
        <w:tc>
          <w:tcPr>
            <w:tcW w:w="1710" w:type="dxa"/>
          </w:tcPr>
          <w:p w14:paraId="7BB575AD" w14:textId="77777777" w:rsidR="00243B94" w:rsidRPr="00243B94" w:rsidRDefault="00243B94" w:rsidP="00232F02">
            <w:pPr>
              <w:pStyle w:val="BodyText"/>
              <w:spacing w:before="60" w:after="60" w:line="240" w:lineRule="auto"/>
              <w:ind w:left="0" w:right="10"/>
              <w:rPr>
                <w:rFonts w:ascii="Arial" w:hAnsi="Arial" w:cs="Arial"/>
                <w:sz w:val="18"/>
                <w:szCs w:val="18"/>
              </w:rPr>
            </w:pPr>
            <w:r w:rsidRPr="00243B94">
              <w:rPr>
                <w:rFonts w:ascii="Arial" w:hAnsi="Arial" w:cs="Arial"/>
                <w:sz w:val="18"/>
                <w:szCs w:val="18"/>
              </w:rPr>
              <w:t>European Chemicals Agency</w:t>
            </w:r>
          </w:p>
          <w:p w14:paraId="7B706248" w14:textId="77777777" w:rsidR="00243B94" w:rsidRPr="00243B94" w:rsidRDefault="00243B94" w:rsidP="00232F02">
            <w:pPr>
              <w:pStyle w:val="BodyText"/>
              <w:spacing w:before="60" w:after="60" w:line="240" w:lineRule="auto"/>
              <w:ind w:left="0" w:right="14"/>
              <w:rPr>
                <w:rFonts w:ascii="Arial" w:hAnsi="Arial" w:cs="Arial"/>
                <w:sz w:val="18"/>
                <w:szCs w:val="18"/>
              </w:rPr>
            </w:pPr>
          </w:p>
        </w:tc>
        <w:tc>
          <w:tcPr>
            <w:tcW w:w="2700" w:type="dxa"/>
          </w:tcPr>
          <w:p w14:paraId="21776EDA" w14:textId="77777777" w:rsidR="00243B94" w:rsidRPr="00243B94" w:rsidRDefault="00243B94" w:rsidP="00232F02">
            <w:pPr>
              <w:pStyle w:val="BodyText"/>
              <w:spacing w:before="60" w:after="60" w:line="240" w:lineRule="auto"/>
              <w:ind w:left="0" w:right="10"/>
              <w:rPr>
                <w:rFonts w:ascii="Arial" w:hAnsi="Arial" w:cs="Arial"/>
                <w:sz w:val="18"/>
                <w:szCs w:val="18"/>
              </w:rPr>
            </w:pPr>
            <w:r w:rsidRPr="00243B94">
              <w:rPr>
                <w:rFonts w:ascii="Arial" w:hAnsi="Arial" w:cs="Arial"/>
                <w:sz w:val="18"/>
                <w:szCs w:val="18"/>
              </w:rPr>
              <w:t>European REACH SVHC candidate list for material reporting requirements</w:t>
            </w:r>
          </w:p>
          <w:p w14:paraId="7DE45D0F" w14:textId="77777777" w:rsidR="00243B94" w:rsidRPr="00243B94" w:rsidRDefault="00243B94" w:rsidP="00232F02">
            <w:pPr>
              <w:pStyle w:val="BodyText"/>
              <w:spacing w:before="60" w:after="60" w:line="240" w:lineRule="auto"/>
              <w:ind w:left="0" w:right="10"/>
              <w:rPr>
                <w:rFonts w:ascii="Arial" w:hAnsi="Arial" w:cs="Arial"/>
                <w:sz w:val="18"/>
                <w:szCs w:val="18"/>
              </w:rPr>
            </w:pPr>
          </w:p>
        </w:tc>
        <w:tc>
          <w:tcPr>
            <w:tcW w:w="2340" w:type="dxa"/>
          </w:tcPr>
          <w:p w14:paraId="3CD30DAC" w14:textId="77777777" w:rsidR="00243B94" w:rsidRPr="00243B94" w:rsidRDefault="001D5FBA" w:rsidP="00232F02">
            <w:pPr>
              <w:pStyle w:val="BodyText"/>
              <w:spacing w:before="60" w:after="60" w:line="240" w:lineRule="auto"/>
              <w:ind w:left="0" w:right="10"/>
              <w:rPr>
                <w:rStyle w:val="Hyperlink"/>
                <w:rFonts w:ascii="Arial" w:hAnsi="Arial" w:cs="Arial"/>
                <w:sz w:val="18"/>
                <w:szCs w:val="18"/>
              </w:rPr>
            </w:pPr>
            <w:hyperlink r:id="rId36">
              <w:r w:rsidR="00243B94" w:rsidRPr="00243B94">
                <w:rPr>
                  <w:rStyle w:val="Hyperlink"/>
                  <w:rFonts w:ascii="Arial" w:hAnsi="Arial" w:cs="Arial"/>
                  <w:sz w:val="18"/>
                  <w:szCs w:val="18"/>
                </w:rPr>
                <w:t>http://echa.europa.eu/web/guest/candidate-list-table</w:t>
              </w:r>
            </w:hyperlink>
          </w:p>
        </w:tc>
        <w:tc>
          <w:tcPr>
            <w:tcW w:w="2880" w:type="dxa"/>
          </w:tcPr>
          <w:p w14:paraId="07C057D4" w14:textId="77777777" w:rsidR="00243B94" w:rsidRPr="00243B94" w:rsidRDefault="00243B94" w:rsidP="00232F02">
            <w:pPr>
              <w:pStyle w:val="BodyText"/>
              <w:spacing w:before="60" w:after="60" w:line="240" w:lineRule="auto"/>
              <w:ind w:left="0" w:right="10"/>
              <w:rPr>
                <w:rFonts w:ascii="Arial" w:hAnsi="Arial" w:cs="Arial"/>
                <w:sz w:val="18"/>
                <w:szCs w:val="18"/>
              </w:rPr>
            </w:pPr>
            <w:r w:rsidRPr="00243B94">
              <w:rPr>
                <w:rFonts w:ascii="Arial" w:hAnsi="Arial" w:cs="Arial"/>
                <w:sz w:val="18"/>
                <w:szCs w:val="18"/>
              </w:rPr>
              <w:t xml:space="preserve">P.O. Box 400 </w:t>
            </w:r>
          </w:p>
          <w:p w14:paraId="78F61968" w14:textId="77777777" w:rsidR="00243B94" w:rsidRPr="00243B94" w:rsidRDefault="00243B94" w:rsidP="00232F02">
            <w:pPr>
              <w:pStyle w:val="BodyText"/>
              <w:spacing w:before="60" w:after="60" w:line="240" w:lineRule="auto"/>
              <w:ind w:left="0" w:right="10"/>
              <w:rPr>
                <w:rFonts w:ascii="Arial" w:hAnsi="Arial" w:cs="Arial"/>
                <w:sz w:val="18"/>
                <w:szCs w:val="18"/>
              </w:rPr>
            </w:pPr>
            <w:r w:rsidRPr="00243B94">
              <w:rPr>
                <w:rFonts w:ascii="Arial" w:hAnsi="Arial" w:cs="Arial"/>
                <w:sz w:val="18"/>
                <w:szCs w:val="18"/>
              </w:rPr>
              <w:t>00121 Helsinki Finland</w:t>
            </w:r>
          </w:p>
          <w:p w14:paraId="1439B03B" w14:textId="77777777" w:rsidR="00243B94" w:rsidRPr="00243B94" w:rsidRDefault="00243B94" w:rsidP="00232F02">
            <w:pPr>
              <w:pStyle w:val="BodyText"/>
              <w:spacing w:before="60" w:after="60" w:line="240" w:lineRule="auto"/>
              <w:ind w:left="0" w:right="14"/>
              <w:rPr>
                <w:rFonts w:ascii="Arial" w:hAnsi="Arial" w:cs="Arial"/>
                <w:sz w:val="18"/>
                <w:szCs w:val="18"/>
              </w:rPr>
            </w:pPr>
          </w:p>
        </w:tc>
      </w:tr>
      <w:tr w:rsidR="00243B94" w:rsidRPr="00243B94" w14:paraId="1AC3ED99" w14:textId="77777777" w:rsidTr="00232F02">
        <w:tc>
          <w:tcPr>
            <w:tcW w:w="1710" w:type="dxa"/>
          </w:tcPr>
          <w:p w14:paraId="6F9FACF3" w14:textId="77777777" w:rsidR="00243B94" w:rsidRPr="00243B94" w:rsidRDefault="00243B94" w:rsidP="00232F02">
            <w:pPr>
              <w:pStyle w:val="BodyText"/>
              <w:spacing w:before="60" w:after="60" w:line="240" w:lineRule="auto"/>
              <w:ind w:left="0" w:right="14"/>
              <w:rPr>
                <w:rFonts w:ascii="Arial" w:hAnsi="Arial" w:cs="Arial"/>
                <w:sz w:val="18"/>
                <w:szCs w:val="18"/>
              </w:rPr>
            </w:pPr>
            <w:r w:rsidRPr="00243B94">
              <w:rPr>
                <w:rFonts w:ascii="Arial" w:hAnsi="Arial" w:cs="Arial"/>
                <w:sz w:val="18"/>
                <w:szCs w:val="18"/>
              </w:rPr>
              <w:t xml:space="preserve">Enterprise and Industry Thematic site on EUROPA, © European Union </w:t>
            </w:r>
          </w:p>
          <w:p w14:paraId="5BBACA9B" w14:textId="77777777" w:rsidR="00243B94" w:rsidRPr="00243B94" w:rsidRDefault="00243B94" w:rsidP="00232F02">
            <w:pPr>
              <w:pStyle w:val="BodyText"/>
              <w:spacing w:before="60" w:after="60" w:line="240" w:lineRule="auto"/>
              <w:ind w:left="0" w:right="14"/>
              <w:rPr>
                <w:rFonts w:ascii="Arial" w:hAnsi="Arial" w:cs="Arial"/>
                <w:sz w:val="18"/>
                <w:szCs w:val="18"/>
              </w:rPr>
            </w:pPr>
            <w:r w:rsidRPr="00243B94">
              <w:rPr>
                <w:rFonts w:ascii="Arial" w:hAnsi="Arial" w:cs="Arial"/>
                <w:sz w:val="18"/>
                <w:szCs w:val="18"/>
              </w:rPr>
              <w:t>Restriction of the use of certain Hazardous Substances (RoHS)</w:t>
            </w:r>
          </w:p>
        </w:tc>
        <w:tc>
          <w:tcPr>
            <w:tcW w:w="2700" w:type="dxa"/>
          </w:tcPr>
          <w:p w14:paraId="27FB7E8B" w14:textId="77777777" w:rsidR="00243B94" w:rsidRPr="00243B94" w:rsidRDefault="00243B94" w:rsidP="00232F02">
            <w:pPr>
              <w:pStyle w:val="BodyText"/>
              <w:spacing w:before="60" w:after="60" w:line="240" w:lineRule="auto"/>
              <w:ind w:left="0" w:right="10"/>
              <w:rPr>
                <w:rFonts w:ascii="Arial" w:hAnsi="Arial" w:cs="Arial"/>
                <w:sz w:val="18"/>
                <w:szCs w:val="18"/>
              </w:rPr>
            </w:pPr>
            <w:r w:rsidRPr="00243B94">
              <w:rPr>
                <w:rFonts w:ascii="Arial" w:hAnsi="Arial" w:cs="Arial"/>
                <w:sz w:val="18"/>
                <w:szCs w:val="18"/>
              </w:rPr>
              <w:t>RoHS directives</w:t>
            </w:r>
          </w:p>
          <w:p w14:paraId="763252FD" w14:textId="77777777" w:rsidR="00243B94" w:rsidRPr="00243B94" w:rsidRDefault="00243B94" w:rsidP="00232F02">
            <w:pPr>
              <w:pStyle w:val="BodyText"/>
              <w:spacing w:before="60" w:after="60" w:line="240" w:lineRule="auto"/>
              <w:ind w:left="0" w:right="14"/>
              <w:rPr>
                <w:rFonts w:ascii="Arial" w:hAnsi="Arial" w:cs="Arial"/>
                <w:sz w:val="18"/>
                <w:szCs w:val="18"/>
              </w:rPr>
            </w:pPr>
          </w:p>
        </w:tc>
        <w:tc>
          <w:tcPr>
            <w:tcW w:w="2340" w:type="dxa"/>
          </w:tcPr>
          <w:p w14:paraId="03A6B278" w14:textId="77777777" w:rsidR="00243B94" w:rsidRPr="00243B94" w:rsidRDefault="001D5FBA" w:rsidP="00232F02">
            <w:pPr>
              <w:pStyle w:val="BodyText"/>
              <w:spacing w:before="60" w:after="60" w:line="240" w:lineRule="auto"/>
              <w:ind w:left="0" w:right="10"/>
              <w:rPr>
                <w:rStyle w:val="Hyperlink"/>
                <w:rFonts w:ascii="Arial" w:hAnsi="Arial" w:cs="Arial"/>
                <w:sz w:val="18"/>
                <w:szCs w:val="18"/>
              </w:rPr>
            </w:pPr>
            <w:hyperlink r:id="rId37" w:history="1">
              <w:r w:rsidR="00243B94" w:rsidRPr="00243B94">
                <w:rPr>
                  <w:rStyle w:val="Hyperlink"/>
                  <w:rFonts w:ascii="Arial" w:hAnsi="Arial" w:cs="Arial"/>
                  <w:sz w:val="18"/>
                  <w:szCs w:val="18"/>
                </w:rPr>
                <w:t>http://ec.europa.eu/enterprise/policies/european-standards/harmonised-standards/restriction-of-</w:t>
              </w:r>
            </w:hyperlink>
            <w:r w:rsidR="00243B94" w:rsidRPr="00243B94">
              <w:rPr>
                <w:rStyle w:val="Hyperlink"/>
                <w:rFonts w:ascii="Arial" w:hAnsi="Arial" w:cs="Arial"/>
                <w:sz w:val="18"/>
                <w:szCs w:val="18"/>
              </w:rPr>
              <w:t xml:space="preserve"> hazardous-substances/index_en.htm</w:t>
            </w:r>
          </w:p>
          <w:p w14:paraId="2D195121" w14:textId="77777777" w:rsidR="00243B94" w:rsidRPr="00243B94" w:rsidRDefault="00243B94" w:rsidP="00232F02">
            <w:pPr>
              <w:pStyle w:val="BodyText"/>
              <w:spacing w:before="60" w:after="60" w:line="240" w:lineRule="auto"/>
              <w:ind w:left="0" w:right="14"/>
              <w:rPr>
                <w:rStyle w:val="Hyperlink"/>
                <w:rFonts w:ascii="Arial" w:hAnsi="Arial" w:cs="Arial"/>
                <w:sz w:val="18"/>
                <w:szCs w:val="18"/>
              </w:rPr>
            </w:pPr>
          </w:p>
        </w:tc>
        <w:tc>
          <w:tcPr>
            <w:tcW w:w="2880" w:type="dxa"/>
          </w:tcPr>
          <w:p w14:paraId="3F4A26EB" w14:textId="77777777" w:rsidR="00243B94" w:rsidRPr="00243B94" w:rsidRDefault="00243B94" w:rsidP="00232F02">
            <w:pPr>
              <w:pStyle w:val="BodyText"/>
              <w:spacing w:before="60" w:after="60" w:line="240" w:lineRule="auto"/>
              <w:ind w:left="0" w:right="14"/>
              <w:rPr>
                <w:rFonts w:ascii="Arial" w:hAnsi="Arial" w:cs="Arial"/>
                <w:sz w:val="18"/>
                <w:szCs w:val="18"/>
              </w:rPr>
            </w:pPr>
          </w:p>
        </w:tc>
      </w:tr>
      <w:tr w:rsidR="00243B94" w:rsidRPr="00243B94" w14:paraId="0AA4D813" w14:textId="77777777" w:rsidTr="00AB1036">
        <w:tc>
          <w:tcPr>
            <w:tcW w:w="1710" w:type="dxa"/>
            <w:tcBorders>
              <w:bottom w:val="single" w:sz="4" w:space="0" w:color="000000"/>
            </w:tcBorders>
          </w:tcPr>
          <w:p w14:paraId="697ED375" w14:textId="77777777" w:rsidR="00243B94" w:rsidRPr="00243B94" w:rsidRDefault="00243B94" w:rsidP="00232F02">
            <w:pPr>
              <w:pStyle w:val="BodyText"/>
              <w:spacing w:before="60" w:after="60" w:line="240" w:lineRule="auto"/>
              <w:ind w:left="0" w:right="14"/>
              <w:rPr>
                <w:rFonts w:ascii="Arial" w:hAnsi="Arial" w:cs="Arial"/>
                <w:sz w:val="18"/>
                <w:szCs w:val="18"/>
              </w:rPr>
            </w:pPr>
            <w:r w:rsidRPr="00243B94">
              <w:rPr>
                <w:rFonts w:ascii="Arial" w:hAnsi="Arial" w:cs="Arial"/>
                <w:sz w:val="18"/>
                <w:szCs w:val="18"/>
              </w:rPr>
              <w:t>Waste Electrical &amp; Electronic Equipment (WEEE)</w:t>
            </w:r>
          </w:p>
        </w:tc>
        <w:tc>
          <w:tcPr>
            <w:tcW w:w="2700" w:type="dxa"/>
            <w:tcBorders>
              <w:bottom w:val="single" w:sz="4" w:space="0" w:color="000000"/>
            </w:tcBorders>
          </w:tcPr>
          <w:p w14:paraId="41831748" w14:textId="77777777" w:rsidR="00243B94" w:rsidRPr="00243B94" w:rsidRDefault="00243B94" w:rsidP="00232F02">
            <w:pPr>
              <w:pStyle w:val="BodyText"/>
              <w:spacing w:before="60" w:after="60" w:line="240" w:lineRule="auto"/>
              <w:ind w:left="0" w:right="10"/>
              <w:rPr>
                <w:rFonts w:ascii="Arial" w:hAnsi="Arial" w:cs="Arial"/>
                <w:sz w:val="18"/>
                <w:szCs w:val="18"/>
              </w:rPr>
            </w:pPr>
            <w:r w:rsidRPr="00243B94">
              <w:rPr>
                <w:rFonts w:ascii="Arial" w:hAnsi="Arial" w:cs="Arial"/>
                <w:sz w:val="18"/>
                <w:szCs w:val="18"/>
              </w:rPr>
              <w:t>WEEE directives</w:t>
            </w:r>
          </w:p>
          <w:p w14:paraId="5D20EE96" w14:textId="77777777" w:rsidR="00243B94" w:rsidRPr="00243B94" w:rsidRDefault="00243B94" w:rsidP="00232F02">
            <w:pPr>
              <w:pStyle w:val="BodyText"/>
              <w:spacing w:before="60" w:after="60" w:line="240" w:lineRule="auto"/>
              <w:ind w:left="0" w:right="14"/>
              <w:rPr>
                <w:rFonts w:ascii="Arial" w:hAnsi="Arial" w:cs="Arial"/>
                <w:sz w:val="18"/>
                <w:szCs w:val="18"/>
              </w:rPr>
            </w:pPr>
          </w:p>
        </w:tc>
        <w:tc>
          <w:tcPr>
            <w:tcW w:w="2340" w:type="dxa"/>
            <w:tcBorders>
              <w:bottom w:val="single" w:sz="4" w:space="0" w:color="000000"/>
            </w:tcBorders>
          </w:tcPr>
          <w:p w14:paraId="36037009" w14:textId="01625DE8" w:rsidR="00243B94" w:rsidRPr="00243B94" w:rsidRDefault="001D5FBA" w:rsidP="00AB1036">
            <w:pPr>
              <w:pStyle w:val="BodyText"/>
              <w:spacing w:before="60" w:after="60" w:line="240" w:lineRule="auto"/>
              <w:ind w:left="0" w:right="10"/>
              <w:rPr>
                <w:rFonts w:ascii="Arial" w:hAnsi="Arial" w:cs="Arial"/>
                <w:sz w:val="18"/>
                <w:szCs w:val="18"/>
              </w:rPr>
            </w:pPr>
            <w:hyperlink r:id="rId38" w:history="1">
              <w:r w:rsidR="00243B94" w:rsidRPr="00243B94">
                <w:rPr>
                  <w:rStyle w:val="Hyperlink"/>
                  <w:rFonts w:ascii="Arial" w:hAnsi="Arial" w:cs="Arial"/>
                  <w:sz w:val="18"/>
                  <w:szCs w:val="18"/>
                </w:rPr>
                <w:t>http://ec.europa.eu/environment/waste/weee/index_en.htm</w:t>
              </w:r>
            </w:hyperlink>
          </w:p>
        </w:tc>
        <w:tc>
          <w:tcPr>
            <w:tcW w:w="2880" w:type="dxa"/>
            <w:tcBorders>
              <w:bottom w:val="single" w:sz="4" w:space="0" w:color="000000"/>
            </w:tcBorders>
          </w:tcPr>
          <w:p w14:paraId="3CEDD22D" w14:textId="77777777" w:rsidR="00243B94" w:rsidRPr="00243B94" w:rsidRDefault="00243B94" w:rsidP="00232F02">
            <w:pPr>
              <w:pStyle w:val="BodyText"/>
              <w:spacing w:before="60" w:after="60" w:line="240" w:lineRule="auto"/>
              <w:ind w:left="0" w:right="14"/>
              <w:rPr>
                <w:rFonts w:ascii="Arial" w:hAnsi="Arial" w:cs="Arial"/>
                <w:sz w:val="18"/>
                <w:szCs w:val="18"/>
              </w:rPr>
            </w:pPr>
          </w:p>
        </w:tc>
      </w:tr>
      <w:tr w:rsidR="00243B94" w:rsidRPr="00243B94" w14:paraId="679BCE30" w14:textId="77777777" w:rsidTr="00AB1036">
        <w:tc>
          <w:tcPr>
            <w:tcW w:w="1710" w:type="dxa"/>
            <w:shd w:val="clear" w:color="auto" w:fill="D9D9D9" w:themeFill="background1" w:themeFillShade="D9"/>
            <w:vAlign w:val="center"/>
          </w:tcPr>
          <w:p w14:paraId="0DD6027C" w14:textId="77A49BE6" w:rsidR="00243B94" w:rsidRPr="00AB1036" w:rsidRDefault="00243B94" w:rsidP="00AB1036">
            <w:pPr>
              <w:pStyle w:val="BodyText"/>
              <w:spacing w:after="0"/>
              <w:ind w:left="0" w:right="14"/>
              <w:jc w:val="center"/>
              <w:rPr>
                <w:rFonts w:ascii="Arial" w:hAnsi="Arial" w:cs="Arial"/>
                <w:b/>
                <w:bCs/>
                <w:sz w:val="18"/>
                <w:szCs w:val="18"/>
              </w:rPr>
            </w:pPr>
            <w:r w:rsidRPr="00243B94">
              <w:rPr>
                <w:rFonts w:ascii="Arial" w:hAnsi="Arial" w:cs="Arial"/>
                <w:b/>
                <w:bCs/>
                <w:sz w:val="18"/>
                <w:szCs w:val="18"/>
              </w:rPr>
              <w:t>Name</w:t>
            </w:r>
          </w:p>
        </w:tc>
        <w:tc>
          <w:tcPr>
            <w:tcW w:w="2700" w:type="dxa"/>
            <w:shd w:val="clear" w:color="auto" w:fill="D9D9D9" w:themeFill="background1" w:themeFillShade="D9"/>
            <w:vAlign w:val="center"/>
          </w:tcPr>
          <w:p w14:paraId="662A0A9D" w14:textId="00FDBBD2" w:rsidR="00243B94" w:rsidRPr="00243B94" w:rsidRDefault="00243B94" w:rsidP="00AB1036">
            <w:pPr>
              <w:pStyle w:val="BodyText"/>
              <w:spacing w:before="60" w:after="60" w:line="240" w:lineRule="auto"/>
              <w:ind w:left="0" w:right="10"/>
              <w:jc w:val="center"/>
              <w:rPr>
                <w:rFonts w:ascii="Arial" w:hAnsi="Arial" w:cs="Arial"/>
                <w:sz w:val="18"/>
                <w:szCs w:val="18"/>
              </w:rPr>
            </w:pPr>
            <w:r w:rsidRPr="00243B94">
              <w:rPr>
                <w:rFonts w:ascii="Arial" w:hAnsi="Arial" w:cs="Arial"/>
                <w:b/>
                <w:bCs/>
                <w:sz w:val="18"/>
                <w:szCs w:val="18"/>
              </w:rPr>
              <w:t>Description</w:t>
            </w:r>
          </w:p>
        </w:tc>
        <w:tc>
          <w:tcPr>
            <w:tcW w:w="2340" w:type="dxa"/>
            <w:shd w:val="clear" w:color="auto" w:fill="D9D9D9" w:themeFill="background1" w:themeFillShade="D9"/>
            <w:vAlign w:val="center"/>
          </w:tcPr>
          <w:p w14:paraId="75E61262" w14:textId="211B251B" w:rsidR="00243B94" w:rsidRPr="00243B94" w:rsidRDefault="00243B94" w:rsidP="00AB1036">
            <w:pPr>
              <w:pStyle w:val="BodyText"/>
              <w:spacing w:before="60" w:after="60" w:line="240" w:lineRule="auto"/>
              <w:ind w:left="0" w:right="10"/>
              <w:jc w:val="center"/>
              <w:rPr>
                <w:rFonts w:ascii="Arial" w:hAnsi="Arial" w:cs="Arial"/>
                <w:sz w:val="18"/>
                <w:szCs w:val="18"/>
              </w:rPr>
            </w:pPr>
            <w:r w:rsidRPr="00243B94">
              <w:rPr>
                <w:rFonts w:ascii="Arial" w:hAnsi="Arial" w:cs="Arial"/>
                <w:b/>
                <w:bCs/>
                <w:sz w:val="18"/>
                <w:szCs w:val="18"/>
              </w:rPr>
              <w:t>Website</w:t>
            </w:r>
          </w:p>
        </w:tc>
        <w:tc>
          <w:tcPr>
            <w:tcW w:w="2880" w:type="dxa"/>
            <w:shd w:val="clear" w:color="auto" w:fill="D9D9D9" w:themeFill="background1" w:themeFillShade="D9"/>
            <w:vAlign w:val="center"/>
          </w:tcPr>
          <w:p w14:paraId="165C2247" w14:textId="296B5108" w:rsidR="00243B94" w:rsidRPr="00243B94" w:rsidRDefault="00243B94" w:rsidP="00AB1036">
            <w:pPr>
              <w:pStyle w:val="BodyText"/>
              <w:spacing w:before="60" w:after="60" w:line="240" w:lineRule="auto"/>
              <w:ind w:left="0" w:right="10"/>
              <w:jc w:val="center"/>
              <w:rPr>
                <w:rFonts w:ascii="Arial" w:hAnsi="Arial" w:cs="Arial"/>
                <w:sz w:val="18"/>
                <w:szCs w:val="18"/>
              </w:rPr>
            </w:pPr>
            <w:r w:rsidRPr="00243B94">
              <w:rPr>
                <w:rFonts w:ascii="Arial" w:hAnsi="Arial" w:cs="Arial"/>
                <w:b/>
                <w:bCs/>
                <w:sz w:val="18"/>
                <w:szCs w:val="18"/>
              </w:rPr>
              <w:t>Address</w:t>
            </w:r>
          </w:p>
        </w:tc>
      </w:tr>
      <w:tr w:rsidR="00243B94" w:rsidRPr="00243B94" w14:paraId="5683EF22" w14:textId="77777777" w:rsidTr="00232F02">
        <w:tc>
          <w:tcPr>
            <w:tcW w:w="1710" w:type="dxa"/>
          </w:tcPr>
          <w:p w14:paraId="71020E91" w14:textId="77777777" w:rsidR="00243B94" w:rsidRPr="00243B94" w:rsidRDefault="00243B94" w:rsidP="00243B94">
            <w:pPr>
              <w:pStyle w:val="BodyText"/>
              <w:spacing w:before="60" w:after="60" w:line="240" w:lineRule="auto"/>
              <w:ind w:left="0" w:right="14"/>
              <w:rPr>
                <w:rFonts w:ascii="Arial" w:hAnsi="Arial" w:cs="Arial"/>
                <w:sz w:val="18"/>
                <w:szCs w:val="18"/>
              </w:rPr>
            </w:pPr>
            <w:r w:rsidRPr="00243B94">
              <w:rPr>
                <w:rFonts w:ascii="Arial" w:hAnsi="Arial" w:cs="Arial"/>
                <w:sz w:val="18"/>
                <w:szCs w:val="18"/>
              </w:rPr>
              <w:t>International Organization for Standardization</w:t>
            </w:r>
          </w:p>
        </w:tc>
        <w:tc>
          <w:tcPr>
            <w:tcW w:w="2700" w:type="dxa"/>
          </w:tcPr>
          <w:p w14:paraId="76F5BD52" w14:textId="3877AD21" w:rsidR="00243B94" w:rsidRPr="00243B94" w:rsidRDefault="00243B94" w:rsidP="00243B94">
            <w:pPr>
              <w:pStyle w:val="BodyText"/>
              <w:spacing w:before="60" w:after="60" w:line="240" w:lineRule="auto"/>
              <w:ind w:left="0" w:right="10"/>
              <w:rPr>
                <w:rFonts w:ascii="Arial" w:hAnsi="Arial" w:cs="Arial"/>
                <w:sz w:val="18"/>
                <w:szCs w:val="18"/>
              </w:rPr>
            </w:pPr>
            <w:r w:rsidRPr="00243B94">
              <w:rPr>
                <w:rFonts w:ascii="Arial" w:hAnsi="Arial" w:cs="Arial"/>
                <w:sz w:val="18"/>
                <w:szCs w:val="18"/>
              </w:rPr>
              <w:t>ISO</w:t>
            </w:r>
            <w:r w:rsidR="00C52846">
              <w:rPr>
                <w:rFonts w:ascii="Arial" w:hAnsi="Arial" w:cs="Arial"/>
                <w:sz w:val="18"/>
                <w:szCs w:val="18"/>
              </w:rPr>
              <w:t xml:space="preserve"> </w:t>
            </w:r>
            <w:r w:rsidRPr="00243B94">
              <w:rPr>
                <w:rFonts w:ascii="Arial" w:hAnsi="Arial" w:cs="Arial"/>
                <w:sz w:val="18"/>
                <w:szCs w:val="18"/>
              </w:rPr>
              <w:t>9001</w:t>
            </w:r>
          </w:p>
          <w:p w14:paraId="4C6CDB50" w14:textId="77777777" w:rsidR="00243B94" w:rsidRPr="00243B94" w:rsidRDefault="00243B94" w:rsidP="00243B94">
            <w:pPr>
              <w:pStyle w:val="BodyText"/>
              <w:spacing w:before="60" w:after="60" w:line="240" w:lineRule="auto"/>
              <w:ind w:left="0" w:right="10"/>
              <w:rPr>
                <w:rFonts w:ascii="Arial" w:hAnsi="Arial" w:cs="Arial"/>
                <w:sz w:val="18"/>
                <w:szCs w:val="18"/>
              </w:rPr>
            </w:pPr>
            <w:r w:rsidRPr="00243B94">
              <w:rPr>
                <w:rFonts w:ascii="Arial" w:hAnsi="Arial" w:cs="Arial"/>
                <w:sz w:val="18"/>
                <w:szCs w:val="18"/>
              </w:rPr>
              <w:t>Quality Management System</w:t>
            </w:r>
          </w:p>
          <w:p w14:paraId="072674E4" w14:textId="77777777" w:rsidR="00243B94" w:rsidRPr="00243B94" w:rsidRDefault="00243B94" w:rsidP="00243B94">
            <w:pPr>
              <w:pStyle w:val="BodyText"/>
              <w:spacing w:before="60" w:after="60" w:line="240" w:lineRule="auto"/>
              <w:ind w:left="0" w:right="10"/>
              <w:rPr>
                <w:rFonts w:ascii="Arial" w:hAnsi="Arial" w:cs="Arial"/>
                <w:sz w:val="18"/>
                <w:szCs w:val="18"/>
              </w:rPr>
            </w:pPr>
          </w:p>
          <w:p w14:paraId="695F06B9" w14:textId="6239959D" w:rsidR="00243B94" w:rsidRPr="00243B94" w:rsidRDefault="00243B94" w:rsidP="00243B94">
            <w:pPr>
              <w:pStyle w:val="BodyText"/>
              <w:spacing w:before="60" w:after="60" w:line="240" w:lineRule="auto"/>
              <w:ind w:left="0" w:right="10"/>
              <w:rPr>
                <w:rFonts w:ascii="Arial" w:hAnsi="Arial" w:cs="Arial"/>
                <w:sz w:val="18"/>
                <w:szCs w:val="18"/>
              </w:rPr>
            </w:pPr>
            <w:r w:rsidRPr="00243B94">
              <w:rPr>
                <w:rFonts w:ascii="Arial" w:hAnsi="Arial" w:cs="Arial"/>
                <w:sz w:val="18"/>
                <w:szCs w:val="18"/>
              </w:rPr>
              <w:t>ISO</w:t>
            </w:r>
            <w:r w:rsidR="00C52846">
              <w:rPr>
                <w:rFonts w:ascii="Arial" w:hAnsi="Arial" w:cs="Arial"/>
                <w:sz w:val="18"/>
                <w:szCs w:val="18"/>
              </w:rPr>
              <w:t xml:space="preserve"> </w:t>
            </w:r>
            <w:r w:rsidRPr="00243B94">
              <w:rPr>
                <w:rFonts w:ascii="Arial" w:hAnsi="Arial" w:cs="Arial"/>
                <w:sz w:val="18"/>
                <w:szCs w:val="18"/>
              </w:rPr>
              <w:t>10012</w:t>
            </w:r>
          </w:p>
          <w:p w14:paraId="7D91D460" w14:textId="77777777" w:rsidR="00243B94" w:rsidRPr="00243B94" w:rsidRDefault="00243B94" w:rsidP="00243B94">
            <w:pPr>
              <w:pStyle w:val="BodyText"/>
              <w:spacing w:before="60" w:after="60" w:line="240" w:lineRule="auto"/>
              <w:ind w:left="0" w:right="10"/>
              <w:rPr>
                <w:rFonts w:ascii="Arial" w:hAnsi="Arial" w:cs="Arial"/>
                <w:sz w:val="18"/>
                <w:szCs w:val="18"/>
              </w:rPr>
            </w:pPr>
            <w:r w:rsidRPr="00243B94">
              <w:rPr>
                <w:rFonts w:ascii="Arial" w:hAnsi="Arial" w:cs="Arial"/>
                <w:sz w:val="18"/>
                <w:szCs w:val="18"/>
              </w:rPr>
              <w:t>Measurement Management Systems – Requirements for Measurement Processes and Measuring Equipment</w:t>
            </w:r>
          </w:p>
          <w:p w14:paraId="5E8D59AA" w14:textId="77777777" w:rsidR="00243B94" w:rsidRPr="00243B94" w:rsidRDefault="00243B94" w:rsidP="00243B94">
            <w:pPr>
              <w:pStyle w:val="BodyText"/>
              <w:spacing w:before="60" w:after="60" w:line="240" w:lineRule="auto"/>
              <w:ind w:left="0" w:right="10"/>
              <w:rPr>
                <w:rFonts w:ascii="Arial" w:hAnsi="Arial" w:cs="Arial"/>
                <w:sz w:val="18"/>
                <w:szCs w:val="18"/>
              </w:rPr>
            </w:pPr>
          </w:p>
          <w:p w14:paraId="6FB5B316" w14:textId="562DA4F1" w:rsidR="00243B94" w:rsidRPr="00243B94" w:rsidRDefault="00243B94" w:rsidP="00243B94">
            <w:pPr>
              <w:pStyle w:val="BodyText"/>
              <w:spacing w:before="60" w:after="60" w:line="240" w:lineRule="auto"/>
              <w:ind w:left="0" w:right="10"/>
              <w:rPr>
                <w:rFonts w:ascii="Arial" w:hAnsi="Arial" w:cs="Arial"/>
                <w:sz w:val="18"/>
                <w:szCs w:val="18"/>
              </w:rPr>
            </w:pPr>
            <w:r w:rsidRPr="00243B94">
              <w:rPr>
                <w:rFonts w:ascii="Arial" w:hAnsi="Arial" w:cs="Arial"/>
                <w:sz w:val="18"/>
                <w:szCs w:val="18"/>
              </w:rPr>
              <w:t>ISO</w:t>
            </w:r>
            <w:r w:rsidR="00C52846">
              <w:rPr>
                <w:rFonts w:ascii="Arial" w:hAnsi="Arial" w:cs="Arial"/>
                <w:sz w:val="18"/>
                <w:szCs w:val="18"/>
              </w:rPr>
              <w:t xml:space="preserve"> </w:t>
            </w:r>
            <w:r w:rsidRPr="00243B94">
              <w:rPr>
                <w:rFonts w:ascii="Arial" w:hAnsi="Arial" w:cs="Arial"/>
                <w:sz w:val="18"/>
                <w:szCs w:val="18"/>
              </w:rPr>
              <w:t>13485</w:t>
            </w:r>
          </w:p>
          <w:p w14:paraId="28A43526" w14:textId="77777777" w:rsidR="00243B94" w:rsidRPr="00243B94" w:rsidRDefault="00243B94" w:rsidP="00243B94">
            <w:pPr>
              <w:pStyle w:val="BodyText"/>
              <w:spacing w:before="60" w:after="60" w:line="240" w:lineRule="auto"/>
              <w:ind w:left="0" w:right="10"/>
              <w:rPr>
                <w:rFonts w:ascii="Arial" w:hAnsi="Arial" w:cs="Arial"/>
                <w:sz w:val="18"/>
                <w:szCs w:val="18"/>
              </w:rPr>
            </w:pPr>
            <w:r w:rsidRPr="00243B94">
              <w:rPr>
                <w:rFonts w:ascii="Arial" w:hAnsi="Arial" w:cs="Arial"/>
                <w:sz w:val="18"/>
                <w:szCs w:val="18"/>
              </w:rPr>
              <w:t xml:space="preserve">Medical devices – Quality management systems – Requirements for regulatory purposes </w:t>
            </w:r>
          </w:p>
          <w:p w14:paraId="3E97CAD9" w14:textId="77777777" w:rsidR="00243B94" w:rsidRPr="00243B94" w:rsidRDefault="00243B94" w:rsidP="00243B94">
            <w:pPr>
              <w:pStyle w:val="BodyText"/>
              <w:spacing w:before="60" w:after="60" w:line="240" w:lineRule="auto"/>
              <w:ind w:left="0" w:right="10"/>
              <w:rPr>
                <w:rFonts w:ascii="Arial" w:hAnsi="Arial" w:cs="Arial"/>
                <w:sz w:val="18"/>
                <w:szCs w:val="18"/>
              </w:rPr>
            </w:pPr>
          </w:p>
          <w:p w14:paraId="604DAAB7" w14:textId="301D8386" w:rsidR="00243B94" w:rsidRPr="00243B94" w:rsidRDefault="00243B94" w:rsidP="00243B94">
            <w:pPr>
              <w:pStyle w:val="BodyText"/>
              <w:spacing w:before="60" w:after="60" w:line="240" w:lineRule="auto"/>
              <w:ind w:left="0" w:right="10"/>
              <w:rPr>
                <w:rFonts w:ascii="Arial" w:hAnsi="Arial" w:cs="Arial"/>
                <w:sz w:val="18"/>
                <w:szCs w:val="18"/>
              </w:rPr>
            </w:pPr>
            <w:r w:rsidRPr="00243B94">
              <w:rPr>
                <w:rFonts w:ascii="Arial" w:hAnsi="Arial" w:cs="Arial"/>
                <w:sz w:val="18"/>
                <w:szCs w:val="18"/>
              </w:rPr>
              <w:t>ISO</w:t>
            </w:r>
            <w:r w:rsidR="00C52846">
              <w:rPr>
                <w:rFonts w:ascii="Arial" w:hAnsi="Arial" w:cs="Arial"/>
                <w:sz w:val="18"/>
                <w:szCs w:val="18"/>
              </w:rPr>
              <w:t xml:space="preserve"> </w:t>
            </w:r>
            <w:r w:rsidRPr="00243B94">
              <w:rPr>
                <w:rFonts w:ascii="Arial" w:hAnsi="Arial" w:cs="Arial"/>
                <w:sz w:val="18"/>
                <w:szCs w:val="18"/>
              </w:rPr>
              <w:t>14001</w:t>
            </w:r>
          </w:p>
          <w:p w14:paraId="1E9B1E0D" w14:textId="77777777" w:rsidR="00243B94" w:rsidRPr="00243B94" w:rsidRDefault="00243B94" w:rsidP="00243B94">
            <w:pPr>
              <w:pStyle w:val="BodyText"/>
              <w:spacing w:before="60" w:after="60" w:line="240" w:lineRule="auto"/>
              <w:ind w:left="0" w:right="10"/>
              <w:rPr>
                <w:rFonts w:ascii="Arial" w:hAnsi="Arial" w:cs="Arial"/>
                <w:sz w:val="18"/>
                <w:szCs w:val="18"/>
              </w:rPr>
            </w:pPr>
            <w:r w:rsidRPr="00243B94">
              <w:rPr>
                <w:rFonts w:ascii="Arial" w:hAnsi="Arial" w:cs="Arial"/>
                <w:sz w:val="18"/>
                <w:szCs w:val="18"/>
              </w:rPr>
              <w:t>Environmental Management Systems – Requirements with Guidance for Use</w:t>
            </w:r>
          </w:p>
          <w:p w14:paraId="3FDC9DF5" w14:textId="77777777" w:rsidR="00243B94" w:rsidRPr="00243B94" w:rsidRDefault="00243B94" w:rsidP="00AB1036">
            <w:pPr>
              <w:pStyle w:val="BodyText"/>
              <w:spacing w:before="60" w:after="60" w:line="240" w:lineRule="auto"/>
              <w:ind w:left="0" w:right="10"/>
              <w:rPr>
                <w:rFonts w:ascii="Arial" w:hAnsi="Arial" w:cs="Arial"/>
                <w:sz w:val="18"/>
                <w:szCs w:val="18"/>
              </w:rPr>
            </w:pPr>
          </w:p>
          <w:p w14:paraId="0DA4938D" w14:textId="14C62F44" w:rsidR="00243B94" w:rsidRPr="00243B94" w:rsidRDefault="00243B94" w:rsidP="00243B94">
            <w:pPr>
              <w:pStyle w:val="BodyText"/>
              <w:spacing w:before="60" w:after="60" w:line="240" w:lineRule="auto"/>
              <w:ind w:left="0" w:right="10"/>
              <w:rPr>
                <w:rFonts w:ascii="Arial" w:hAnsi="Arial" w:cs="Arial"/>
                <w:sz w:val="18"/>
                <w:szCs w:val="18"/>
              </w:rPr>
            </w:pPr>
            <w:r w:rsidRPr="00243B94">
              <w:rPr>
                <w:rFonts w:ascii="Arial" w:hAnsi="Arial" w:cs="Arial"/>
                <w:sz w:val="18"/>
                <w:szCs w:val="18"/>
              </w:rPr>
              <w:t>ISO</w:t>
            </w:r>
            <w:r w:rsidR="00C52846">
              <w:rPr>
                <w:rFonts w:ascii="Arial" w:hAnsi="Arial" w:cs="Arial"/>
                <w:sz w:val="18"/>
                <w:szCs w:val="18"/>
              </w:rPr>
              <w:t xml:space="preserve"> </w:t>
            </w:r>
            <w:r w:rsidRPr="00243B94">
              <w:rPr>
                <w:rFonts w:ascii="Arial" w:hAnsi="Arial" w:cs="Arial"/>
                <w:sz w:val="18"/>
                <w:szCs w:val="18"/>
              </w:rPr>
              <w:t>17025</w:t>
            </w:r>
          </w:p>
          <w:p w14:paraId="7DBD5000" w14:textId="77777777" w:rsidR="00243B94" w:rsidRPr="00243B94" w:rsidRDefault="00243B94" w:rsidP="00243B94">
            <w:pPr>
              <w:pStyle w:val="BodyText"/>
              <w:spacing w:before="60" w:after="60" w:line="240" w:lineRule="auto"/>
              <w:ind w:left="0" w:right="10"/>
              <w:rPr>
                <w:rFonts w:ascii="Arial" w:hAnsi="Arial" w:cs="Arial"/>
                <w:sz w:val="18"/>
                <w:szCs w:val="18"/>
              </w:rPr>
            </w:pPr>
            <w:r w:rsidRPr="00243B94">
              <w:rPr>
                <w:rFonts w:ascii="Arial" w:hAnsi="Arial" w:cs="Arial"/>
                <w:sz w:val="18"/>
                <w:szCs w:val="18"/>
              </w:rPr>
              <w:t>General Requirements for the Competence of Testing and Calibration Laboratories</w:t>
            </w:r>
          </w:p>
          <w:p w14:paraId="62B310A6" w14:textId="77777777" w:rsidR="00243B94" w:rsidRPr="00243B94" w:rsidRDefault="00243B94" w:rsidP="00AB1036">
            <w:pPr>
              <w:pStyle w:val="BodyText"/>
              <w:spacing w:before="60" w:after="60" w:line="240" w:lineRule="auto"/>
              <w:ind w:left="0" w:right="10"/>
              <w:rPr>
                <w:rFonts w:ascii="Arial" w:hAnsi="Arial" w:cs="Arial"/>
                <w:sz w:val="18"/>
                <w:szCs w:val="18"/>
              </w:rPr>
            </w:pPr>
          </w:p>
          <w:p w14:paraId="0A92ABDD" w14:textId="12100199" w:rsidR="00243B94" w:rsidRPr="00243B94" w:rsidRDefault="00243B94" w:rsidP="00243B94">
            <w:pPr>
              <w:pStyle w:val="BodyText"/>
              <w:spacing w:before="60" w:after="60" w:line="240" w:lineRule="auto"/>
              <w:ind w:left="0" w:right="10"/>
              <w:rPr>
                <w:rFonts w:ascii="Arial" w:hAnsi="Arial" w:cs="Arial"/>
                <w:sz w:val="18"/>
                <w:szCs w:val="18"/>
              </w:rPr>
            </w:pPr>
            <w:r w:rsidRPr="00243B94">
              <w:rPr>
                <w:rFonts w:ascii="Arial" w:hAnsi="Arial" w:cs="Arial"/>
                <w:sz w:val="18"/>
                <w:szCs w:val="18"/>
              </w:rPr>
              <w:t>ISO/TS</w:t>
            </w:r>
            <w:r w:rsidR="00C52846">
              <w:rPr>
                <w:rFonts w:ascii="Arial" w:hAnsi="Arial" w:cs="Arial"/>
                <w:sz w:val="18"/>
                <w:szCs w:val="18"/>
              </w:rPr>
              <w:t xml:space="preserve"> </w:t>
            </w:r>
            <w:r w:rsidRPr="00243B94">
              <w:rPr>
                <w:rFonts w:ascii="Arial" w:hAnsi="Arial" w:cs="Arial"/>
                <w:sz w:val="18"/>
                <w:szCs w:val="18"/>
              </w:rPr>
              <w:t>16949</w:t>
            </w:r>
          </w:p>
          <w:p w14:paraId="37D804EB" w14:textId="0B19FF69" w:rsidR="00243B94" w:rsidRPr="00243B94" w:rsidRDefault="00243B94" w:rsidP="00243B94">
            <w:pPr>
              <w:pStyle w:val="BodyText"/>
              <w:spacing w:before="60" w:after="60" w:line="240" w:lineRule="auto"/>
              <w:ind w:left="0" w:right="10"/>
              <w:rPr>
                <w:rFonts w:ascii="Arial" w:hAnsi="Arial" w:cs="Arial"/>
                <w:sz w:val="18"/>
                <w:szCs w:val="18"/>
              </w:rPr>
            </w:pPr>
            <w:r w:rsidRPr="00243B94">
              <w:rPr>
                <w:rFonts w:ascii="Arial" w:hAnsi="Arial" w:cs="Arial"/>
                <w:sz w:val="18"/>
                <w:szCs w:val="18"/>
              </w:rPr>
              <w:t>Quality</w:t>
            </w:r>
            <w:r w:rsidRPr="00243B94">
              <w:rPr>
                <w:rFonts w:ascii="Arial" w:hAnsi="Arial" w:cs="Arial"/>
                <w:spacing w:val="-12"/>
                <w:sz w:val="18"/>
                <w:szCs w:val="18"/>
              </w:rPr>
              <w:t xml:space="preserve"> </w:t>
            </w:r>
            <w:r w:rsidRPr="00243B94">
              <w:rPr>
                <w:rFonts w:ascii="Arial" w:hAnsi="Arial" w:cs="Arial"/>
                <w:sz w:val="18"/>
                <w:szCs w:val="18"/>
              </w:rPr>
              <w:t>Management</w:t>
            </w:r>
            <w:r w:rsidRPr="00243B94">
              <w:rPr>
                <w:rFonts w:ascii="Arial" w:hAnsi="Arial" w:cs="Arial"/>
                <w:spacing w:val="-12"/>
                <w:sz w:val="18"/>
                <w:szCs w:val="18"/>
              </w:rPr>
              <w:t xml:space="preserve"> </w:t>
            </w:r>
            <w:r w:rsidRPr="00243B94">
              <w:rPr>
                <w:rFonts w:ascii="Arial" w:hAnsi="Arial" w:cs="Arial"/>
                <w:sz w:val="18"/>
                <w:szCs w:val="18"/>
              </w:rPr>
              <w:t>Systems</w:t>
            </w:r>
            <w:r w:rsidRPr="00243B94">
              <w:rPr>
                <w:rFonts w:ascii="Arial" w:hAnsi="Arial" w:cs="Arial"/>
                <w:spacing w:val="-13"/>
                <w:sz w:val="18"/>
                <w:szCs w:val="18"/>
              </w:rPr>
              <w:t xml:space="preserve"> </w:t>
            </w:r>
            <w:r w:rsidRPr="00243B94">
              <w:rPr>
                <w:rFonts w:ascii="Arial" w:hAnsi="Arial" w:cs="Arial"/>
                <w:sz w:val="18"/>
                <w:szCs w:val="18"/>
              </w:rPr>
              <w:t>–</w:t>
            </w:r>
            <w:r w:rsidRPr="00243B94">
              <w:rPr>
                <w:rFonts w:ascii="Arial" w:hAnsi="Arial" w:cs="Arial"/>
                <w:spacing w:val="-12"/>
                <w:sz w:val="18"/>
                <w:szCs w:val="18"/>
              </w:rPr>
              <w:t xml:space="preserve"> </w:t>
            </w:r>
            <w:r w:rsidRPr="00243B94">
              <w:rPr>
                <w:rFonts w:ascii="Arial" w:hAnsi="Arial" w:cs="Arial"/>
                <w:sz w:val="18"/>
                <w:szCs w:val="18"/>
              </w:rPr>
              <w:t>Particular</w:t>
            </w:r>
            <w:r w:rsidRPr="00243B94">
              <w:rPr>
                <w:rFonts w:ascii="Arial" w:hAnsi="Arial" w:cs="Arial"/>
                <w:spacing w:val="-10"/>
                <w:sz w:val="18"/>
                <w:szCs w:val="18"/>
              </w:rPr>
              <w:t xml:space="preserve"> </w:t>
            </w:r>
            <w:r w:rsidRPr="00243B94">
              <w:rPr>
                <w:rFonts w:ascii="Arial" w:hAnsi="Arial" w:cs="Arial"/>
                <w:sz w:val="18"/>
                <w:szCs w:val="18"/>
              </w:rPr>
              <w:t>Requirements</w:t>
            </w:r>
            <w:r w:rsidRPr="00243B94">
              <w:rPr>
                <w:rFonts w:ascii="Arial" w:hAnsi="Arial" w:cs="Arial"/>
                <w:spacing w:val="-12"/>
                <w:sz w:val="18"/>
                <w:szCs w:val="18"/>
              </w:rPr>
              <w:t xml:space="preserve"> </w:t>
            </w:r>
            <w:r w:rsidRPr="00243B94">
              <w:rPr>
                <w:rFonts w:ascii="Arial" w:hAnsi="Arial" w:cs="Arial"/>
                <w:sz w:val="18"/>
                <w:szCs w:val="18"/>
              </w:rPr>
              <w:t>for</w:t>
            </w:r>
            <w:r w:rsidRPr="00243B94">
              <w:rPr>
                <w:rFonts w:ascii="Arial" w:hAnsi="Arial" w:cs="Arial"/>
                <w:spacing w:val="-10"/>
                <w:sz w:val="18"/>
                <w:szCs w:val="18"/>
              </w:rPr>
              <w:t xml:space="preserve"> </w:t>
            </w:r>
            <w:r w:rsidRPr="00243B94">
              <w:rPr>
                <w:rFonts w:ascii="Arial" w:hAnsi="Arial" w:cs="Arial"/>
                <w:sz w:val="18"/>
                <w:szCs w:val="18"/>
              </w:rPr>
              <w:t>the</w:t>
            </w:r>
            <w:r w:rsidRPr="00243B94">
              <w:rPr>
                <w:rFonts w:ascii="Arial" w:hAnsi="Arial" w:cs="Arial"/>
                <w:spacing w:val="-12"/>
                <w:sz w:val="18"/>
                <w:szCs w:val="18"/>
              </w:rPr>
              <w:t xml:space="preserve"> </w:t>
            </w:r>
            <w:r w:rsidRPr="00243B94">
              <w:rPr>
                <w:rFonts w:ascii="Arial" w:hAnsi="Arial" w:cs="Arial"/>
                <w:sz w:val="18"/>
                <w:szCs w:val="18"/>
              </w:rPr>
              <w:t>Application</w:t>
            </w:r>
            <w:r w:rsidRPr="00243B94">
              <w:rPr>
                <w:rFonts w:ascii="Arial" w:hAnsi="Arial" w:cs="Arial"/>
                <w:spacing w:val="-12"/>
                <w:sz w:val="18"/>
                <w:szCs w:val="18"/>
              </w:rPr>
              <w:t xml:space="preserve"> </w:t>
            </w:r>
            <w:r w:rsidRPr="00243B94">
              <w:rPr>
                <w:rFonts w:ascii="Arial" w:hAnsi="Arial" w:cs="Arial"/>
                <w:sz w:val="18"/>
                <w:szCs w:val="18"/>
              </w:rPr>
              <w:t>of</w:t>
            </w:r>
            <w:r w:rsidRPr="00243B94">
              <w:rPr>
                <w:rFonts w:ascii="Arial" w:hAnsi="Arial" w:cs="Arial"/>
                <w:spacing w:val="-12"/>
                <w:sz w:val="18"/>
                <w:szCs w:val="18"/>
              </w:rPr>
              <w:t xml:space="preserve"> </w:t>
            </w:r>
            <w:r w:rsidRPr="00243B94">
              <w:rPr>
                <w:rFonts w:ascii="Arial" w:hAnsi="Arial" w:cs="Arial"/>
                <w:sz w:val="18"/>
                <w:szCs w:val="18"/>
              </w:rPr>
              <w:t>ISO</w:t>
            </w:r>
            <w:r w:rsidR="00C52846">
              <w:rPr>
                <w:rFonts w:ascii="Arial" w:hAnsi="Arial" w:cs="Arial"/>
                <w:sz w:val="18"/>
                <w:szCs w:val="18"/>
              </w:rPr>
              <w:t xml:space="preserve"> </w:t>
            </w:r>
            <w:r w:rsidRPr="00243B94">
              <w:rPr>
                <w:rFonts w:ascii="Arial" w:hAnsi="Arial" w:cs="Arial"/>
                <w:sz w:val="18"/>
                <w:szCs w:val="18"/>
              </w:rPr>
              <w:t>9001</w:t>
            </w:r>
            <w:r w:rsidRPr="00243B94">
              <w:rPr>
                <w:rFonts w:ascii="Arial" w:hAnsi="Arial" w:cs="Arial"/>
                <w:spacing w:val="-11"/>
                <w:sz w:val="18"/>
                <w:szCs w:val="18"/>
              </w:rPr>
              <w:t xml:space="preserve"> </w:t>
            </w:r>
            <w:r w:rsidRPr="00243B94">
              <w:rPr>
                <w:rFonts w:ascii="Arial" w:hAnsi="Arial" w:cs="Arial"/>
                <w:sz w:val="18"/>
                <w:szCs w:val="18"/>
              </w:rPr>
              <w:t>for Automotive</w:t>
            </w:r>
            <w:r w:rsidRPr="00243B94">
              <w:rPr>
                <w:rFonts w:ascii="Arial" w:hAnsi="Arial" w:cs="Arial"/>
                <w:spacing w:val="-8"/>
                <w:sz w:val="18"/>
                <w:szCs w:val="18"/>
              </w:rPr>
              <w:t xml:space="preserve"> </w:t>
            </w:r>
            <w:r w:rsidRPr="00243B94">
              <w:rPr>
                <w:rFonts w:ascii="Arial" w:hAnsi="Arial" w:cs="Arial"/>
                <w:sz w:val="18"/>
                <w:szCs w:val="18"/>
              </w:rPr>
              <w:t>Production</w:t>
            </w:r>
            <w:r w:rsidRPr="00243B94">
              <w:rPr>
                <w:rFonts w:ascii="Arial" w:hAnsi="Arial" w:cs="Arial"/>
                <w:spacing w:val="-8"/>
                <w:sz w:val="18"/>
                <w:szCs w:val="18"/>
              </w:rPr>
              <w:t xml:space="preserve"> </w:t>
            </w:r>
            <w:r w:rsidRPr="00243B94">
              <w:rPr>
                <w:rFonts w:ascii="Arial" w:hAnsi="Arial" w:cs="Arial"/>
                <w:sz w:val="18"/>
                <w:szCs w:val="18"/>
              </w:rPr>
              <w:t>and</w:t>
            </w:r>
            <w:r w:rsidRPr="00243B94">
              <w:rPr>
                <w:rFonts w:ascii="Arial" w:hAnsi="Arial" w:cs="Arial"/>
                <w:spacing w:val="-7"/>
                <w:sz w:val="18"/>
                <w:szCs w:val="18"/>
              </w:rPr>
              <w:t xml:space="preserve"> </w:t>
            </w:r>
            <w:r w:rsidRPr="00243B94">
              <w:rPr>
                <w:rFonts w:ascii="Arial" w:hAnsi="Arial" w:cs="Arial"/>
                <w:sz w:val="18"/>
                <w:szCs w:val="18"/>
              </w:rPr>
              <w:t>Relevant</w:t>
            </w:r>
            <w:r w:rsidRPr="00243B94">
              <w:rPr>
                <w:rFonts w:ascii="Arial" w:hAnsi="Arial" w:cs="Arial"/>
                <w:spacing w:val="-8"/>
                <w:sz w:val="18"/>
                <w:szCs w:val="18"/>
              </w:rPr>
              <w:t xml:space="preserve"> </w:t>
            </w:r>
            <w:r w:rsidRPr="00243B94">
              <w:rPr>
                <w:rFonts w:ascii="Arial" w:hAnsi="Arial" w:cs="Arial"/>
                <w:sz w:val="18"/>
                <w:szCs w:val="18"/>
              </w:rPr>
              <w:t>Service</w:t>
            </w:r>
            <w:r w:rsidRPr="00243B94">
              <w:rPr>
                <w:rFonts w:ascii="Arial" w:hAnsi="Arial" w:cs="Arial"/>
                <w:spacing w:val="-8"/>
                <w:sz w:val="18"/>
                <w:szCs w:val="18"/>
              </w:rPr>
              <w:t xml:space="preserve"> </w:t>
            </w:r>
            <w:r w:rsidRPr="00243B94">
              <w:rPr>
                <w:rFonts w:ascii="Arial" w:hAnsi="Arial" w:cs="Arial"/>
                <w:sz w:val="18"/>
                <w:szCs w:val="18"/>
              </w:rPr>
              <w:t>Part</w:t>
            </w:r>
            <w:r w:rsidRPr="00243B94">
              <w:rPr>
                <w:rFonts w:ascii="Arial" w:hAnsi="Arial" w:cs="Arial"/>
                <w:spacing w:val="-6"/>
                <w:sz w:val="18"/>
                <w:szCs w:val="18"/>
              </w:rPr>
              <w:t xml:space="preserve"> </w:t>
            </w:r>
            <w:r w:rsidRPr="00243B94">
              <w:rPr>
                <w:rFonts w:ascii="Arial" w:hAnsi="Arial" w:cs="Arial"/>
                <w:sz w:val="18"/>
                <w:szCs w:val="18"/>
              </w:rPr>
              <w:t>Organizations</w:t>
            </w:r>
          </w:p>
        </w:tc>
        <w:tc>
          <w:tcPr>
            <w:tcW w:w="2340" w:type="dxa"/>
          </w:tcPr>
          <w:p w14:paraId="754177B8" w14:textId="77777777" w:rsidR="00243B94" w:rsidRPr="00243B94" w:rsidRDefault="001D5FBA" w:rsidP="00243B94">
            <w:pPr>
              <w:pStyle w:val="BodyText"/>
              <w:spacing w:before="60" w:after="60" w:line="240" w:lineRule="auto"/>
              <w:ind w:left="0" w:right="10"/>
              <w:rPr>
                <w:rFonts w:ascii="Arial" w:hAnsi="Arial" w:cs="Arial"/>
                <w:sz w:val="18"/>
                <w:szCs w:val="18"/>
              </w:rPr>
            </w:pPr>
            <w:hyperlink r:id="rId39" w:history="1">
              <w:r w:rsidR="00243B94" w:rsidRPr="00243B94">
                <w:rPr>
                  <w:rStyle w:val="Hyperlink"/>
                  <w:rFonts w:ascii="Arial" w:hAnsi="Arial" w:cs="Arial"/>
                  <w:sz w:val="18"/>
                  <w:szCs w:val="18"/>
                </w:rPr>
                <w:t>http://www.iso.org/</w:t>
              </w:r>
            </w:hyperlink>
          </w:p>
          <w:p w14:paraId="6B9AD191" w14:textId="77777777" w:rsidR="00243B94" w:rsidRPr="00243B94" w:rsidRDefault="00243B94" w:rsidP="00243B94">
            <w:pPr>
              <w:pStyle w:val="BodyText"/>
              <w:spacing w:before="60" w:after="60" w:line="240" w:lineRule="auto"/>
              <w:ind w:left="0" w:right="10"/>
              <w:rPr>
                <w:rFonts w:ascii="Arial" w:hAnsi="Arial" w:cs="Arial"/>
                <w:sz w:val="18"/>
                <w:szCs w:val="18"/>
              </w:rPr>
            </w:pPr>
          </w:p>
        </w:tc>
        <w:tc>
          <w:tcPr>
            <w:tcW w:w="2880" w:type="dxa"/>
          </w:tcPr>
          <w:p w14:paraId="2D668E1B" w14:textId="77777777" w:rsidR="00243B94" w:rsidRPr="00243B94" w:rsidRDefault="00243B94" w:rsidP="00243B94">
            <w:pPr>
              <w:pStyle w:val="BodyText"/>
              <w:spacing w:before="60" w:after="60" w:line="240" w:lineRule="auto"/>
              <w:ind w:left="0" w:right="10"/>
              <w:rPr>
                <w:rFonts w:ascii="Arial" w:hAnsi="Arial" w:cs="Arial"/>
                <w:sz w:val="18"/>
                <w:szCs w:val="18"/>
              </w:rPr>
            </w:pPr>
            <w:r w:rsidRPr="00243B94">
              <w:rPr>
                <w:rFonts w:ascii="Arial" w:hAnsi="Arial" w:cs="Arial"/>
                <w:sz w:val="18"/>
                <w:szCs w:val="18"/>
              </w:rPr>
              <w:t xml:space="preserve">1, </w:t>
            </w:r>
            <w:proofErr w:type="spellStart"/>
            <w:r w:rsidRPr="00243B94">
              <w:rPr>
                <w:rFonts w:ascii="Arial" w:hAnsi="Arial" w:cs="Arial"/>
                <w:sz w:val="18"/>
                <w:szCs w:val="18"/>
              </w:rPr>
              <w:t>ch.</w:t>
            </w:r>
            <w:proofErr w:type="spellEnd"/>
            <w:r w:rsidRPr="00243B94">
              <w:rPr>
                <w:rFonts w:ascii="Arial" w:hAnsi="Arial" w:cs="Arial"/>
                <w:sz w:val="18"/>
                <w:szCs w:val="18"/>
              </w:rPr>
              <w:t xml:space="preserve"> De la Voie-Creuse CP 56</w:t>
            </w:r>
          </w:p>
          <w:p w14:paraId="526660F9" w14:textId="77777777" w:rsidR="00243B94" w:rsidRPr="00243B94" w:rsidRDefault="00243B94" w:rsidP="00243B94">
            <w:pPr>
              <w:pStyle w:val="BodyText"/>
              <w:spacing w:before="60" w:after="60" w:line="240" w:lineRule="auto"/>
              <w:ind w:left="0" w:right="10"/>
              <w:rPr>
                <w:rFonts w:ascii="Arial" w:hAnsi="Arial" w:cs="Arial"/>
                <w:sz w:val="18"/>
                <w:szCs w:val="18"/>
              </w:rPr>
            </w:pPr>
            <w:r w:rsidRPr="00243B94">
              <w:rPr>
                <w:rFonts w:ascii="Arial" w:hAnsi="Arial" w:cs="Arial"/>
                <w:sz w:val="18"/>
                <w:szCs w:val="18"/>
              </w:rPr>
              <w:t xml:space="preserve">CH-1211 Geneva 20 Switzerland </w:t>
            </w:r>
          </w:p>
          <w:p w14:paraId="3CA30F04" w14:textId="77777777" w:rsidR="00243B94" w:rsidRPr="00243B94" w:rsidRDefault="00243B94" w:rsidP="00243B94">
            <w:pPr>
              <w:pStyle w:val="BodyText"/>
              <w:spacing w:before="60" w:after="60" w:line="240" w:lineRule="auto"/>
              <w:ind w:left="0" w:right="14"/>
              <w:rPr>
                <w:rFonts w:ascii="Arial" w:hAnsi="Arial" w:cs="Arial"/>
                <w:sz w:val="18"/>
                <w:szCs w:val="18"/>
              </w:rPr>
            </w:pPr>
          </w:p>
        </w:tc>
      </w:tr>
      <w:tr w:rsidR="00243B94" w:rsidRPr="00243B94" w14:paraId="6E5BE7AA" w14:textId="77777777" w:rsidTr="00232F02">
        <w:tc>
          <w:tcPr>
            <w:tcW w:w="1710" w:type="dxa"/>
          </w:tcPr>
          <w:p w14:paraId="1E79CDA9" w14:textId="77777777" w:rsidR="00243B94" w:rsidRPr="00243B94" w:rsidRDefault="00243B94" w:rsidP="00243B94">
            <w:pPr>
              <w:pStyle w:val="BodyText"/>
              <w:spacing w:before="60" w:after="60" w:line="240" w:lineRule="auto"/>
              <w:ind w:left="0" w:right="10"/>
              <w:rPr>
                <w:rFonts w:ascii="Arial" w:hAnsi="Arial" w:cs="Arial"/>
                <w:sz w:val="18"/>
                <w:szCs w:val="18"/>
              </w:rPr>
            </w:pPr>
            <w:r w:rsidRPr="00243B94">
              <w:rPr>
                <w:rFonts w:ascii="Arial" w:hAnsi="Arial" w:cs="Arial"/>
                <w:sz w:val="18"/>
                <w:szCs w:val="18"/>
              </w:rPr>
              <w:t xml:space="preserve">Japanese Standards Association </w:t>
            </w:r>
          </w:p>
        </w:tc>
        <w:tc>
          <w:tcPr>
            <w:tcW w:w="2700" w:type="dxa"/>
          </w:tcPr>
          <w:p w14:paraId="41D38BDC" w14:textId="77777777" w:rsidR="00243B94" w:rsidRPr="00243B94" w:rsidRDefault="00243B94" w:rsidP="00243B94">
            <w:pPr>
              <w:pStyle w:val="BodyText"/>
              <w:spacing w:before="60" w:after="60" w:line="240" w:lineRule="auto"/>
              <w:ind w:left="0" w:right="10"/>
              <w:rPr>
                <w:rFonts w:ascii="Arial" w:hAnsi="Arial" w:cs="Arial"/>
                <w:sz w:val="18"/>
                <w:szCs w:val="18"/>
              </w:rPr>
            </w:pPr>
            <w:r w:rsidRPr="00243B94">
              <w:rPr>
                <w:rFonts w:ascii="Arial" w:hAnsi="Arial" w:cs="Arial"/>
                <w:sz w:val="18"/>
                <w:szCs w:val="18"/>
              </w:rPr>
              <w:t>Japanese Industrial Standard (JIS) specifications</w:t>
            </w:r>
          </w:p>
        </w:tc>
        <w:tc>
          <w:tcPr>
            <w:tcW w:w="2340" w:type="dxa"/>
          </w:tcPr>
          <w:p w14:paraId="6BA94AFD" w14:textId="77777777" w:rsidR="00243B94" w:rsidRPr="00243B94" w:rsidRDefault="001D5FBA" w:rsidP="00243B94">
            <w:pPr>
              <w:pStyle w:val="BodyText"/>
              <w:spacing w:before="60" w:after="60" w:line="240" w:lineRule="auto"/>
              <w:ind w:left="0" w:right="10"/>
              <w:rPr>
                <w:rFonts w:ascii="Arial" w:hAnsi="Arial" w:cs="Arial"/>
                <w:sz w:val="18"/>
                <w:szCs w:val="18"/>
              </w:rPr>
            </w:pPr>
            <w:hyperlink r:id="rId40">
              <w:r w:rsidR="00243B94" w:rsidRPr="00243B94">
                <w:rPr>
                  <w:rStyle w:val="Hyperlink"/>
                  <w:rFonts w:ascii="Arial" w:hAnsi="Arial" w:cs="Arial"/>
                  <w:sz w:val="18"/>
                  <w:szCs w:val="18"/>
                </w:rPr>
                <w:t>http://www.jsa.or.jp/default_english/default_english.html</w:t>
              </w:r>
            </w:hyperlink>
          </w:p>
        </w:tc>
        <w:tc>
          <w:tcPr>
            <w:tcW w:w="2880" w:type="dxa"/>
          </w:tcPr>
          <w:p w14:paraId="58AEC478" w14:textId="77777777" w:rsidR="00243B94" w:rsidRPr="00243B94" w:rsidRDefault="00243B94" w:rsidP="00243B94">
            <w:pPr>
              <w:pStyle w:val="BodyText"/>
              <w:spacing w:before="60" w:after="60" w:line="240" w:lineRule="auto"/>
              <w:ind w:left="0" w:right="10"/>
              <w:rPr>
                <w:rFonts w:ascii="Arial" w:hAnsi="Arial" w:cs="Arial"/>
                <w:sz w:val="18"/>
                <w:szCs w:val="18"/>
              </w:rPr>
            </w:pPr>
            <w:r w:rsidRPr="00243B94">
              <w:rPr>
                <w:rFonts w:ascii="Arial" w:hAnsi="Arial" w:cs="Arial"/>
                <w:sz w:val="18"/>
                <w:szCs w:val="18"/>
              </w:rPr>
              <w:t xml:space="preserve">4-1-24 Akasaka Minato-ku </w:t>
            </w:r>
          </w:p>
          <w:p w14:paraId="43B41379" w14:textId="77777777" w:rsidR="00243B94" w:rsidRPr="00243B94" w:rsidRDefault="00243B94" w:rsidP="00243B94">
            <w:pPr>
              <w:pStyle w:val="BodyText"/>
              <w:spacing w:before="60" w:after="60" w:line="240" w:lineRule="auto"/>
              <w:ind w:left="0" w:right="10"/>
              <w:rPr>
                <w:rFonts w:ascii="Arial" w:hAnsi="Arial" w:cs="Arial"/>
                <w:sz w:val="18"/>
                <w:szCs w:val="18"/>
              </w:rPr>
            </w:pPr>
            <w:r w:rsidRPr="00243B94">
              <w:rPr>
                <w:rFonts w:ascii="Arial" w:hAnsi="Arial" w:cs="Arial"/>
                <w:sz w:val="18"/>
                <w:szCs w:val="18"/>
              </w:rPr>
              <w:t>Tokyo 107-8440 Japan</w:t>
            </w:r>
          </w:p>
        </w:tc>
      </w:tr>
      <w:tr w:rsidR="00243B94" w:rsidRPr="00243B94" w14:paraId="45F38F93" w14:textId="77777777" w:rsidTr="00232F02">
        <w:tc>
          <w:tcPr>
            <w:tcW w:w="1710" w:type="dxa"/>
          </w:tcPr>
          <w:p w14:paraId="56D35560" w14:textId="77777777" w:rsidR="00243B94" w:rsidRPr="00243B94" w:rsidRDefault="00243B94" w:rsidP="00243B94">
            <w:pPr>
              <w:pStyle w:val="BodyText"/>
              <w:spacing w:before="60" w:after="60" w:line="240" w:lineRule="auto"/>
              <w:ind w:left="0" w:right="14"/>
              <w:rPr>
                <w:rFonts w:ascii="Arial" w:hAnsi="Arial" w:cs="Arial"/>
                <w:sz w:val="18"/>
                <w:szCs w:val="18"/>
              </w:rPr>
            </w:pPr>
            <w:r w:rsidRPr="00243B94">
              <w:rPr>
                <w:rFonts w:ascii="Arial" w:hAnsi="Arial" w:cs="Arial"/>
                <w:sz w:val="18"/>
                <w:szCs w:val="18"/>
              </w:rPr>
              <w:t>Society of Automotive Engineers</w:t>
            </w:r>
          </w:p>
        </w:tc>
        <w:tc>
          <w:tcPr>
            <w:tcW w:w="2700" w:type="dxa"/>
          </w:tcPr>
          <w:p w14:paraId="047F1E05" w14:textId="2BE7E5F9" w:rsidR="00243B94" w:rsidRPr="00243B94" w:rsidRDefault="00C52846" w:rsidP="00243B94">
            <w:pPr>
              <w:pStyle w:val="BodyText"/>
              <w:spacing w:before="60" w:after="60" w:line="240" w:lineRule="auto"/>
              <w:ind w:left="0" w:right="14"/>
              <w:rPr>
                <w:rFonts w:ascii="Arial" w:hAnsi="Arial" w:cs="Arial"/>
                <w:sz w:val="18"/>
                <w:szCs w:val="18"/>
              </w:rPr>
            </w:pPr>
            <w:r>
              <w:rPr>
                <w:rFonts w:ascii="Arial" w:hAnsi="Arial" w:cs="Arial"/>
                <w:sz w:val="18"/>
                <w:szCs w:val="18"/>
              </w:rPr>
              <w:t>AS</w:t>
            </w:r>
            <w:r w:rsidR="00243B94" w:rsidRPr="00243B94">
              <w:rPr>
                <w:rFonts w:ascii="Arial" w:hAnsi="Arial" w:cs="Arial"/>
                <w:sz w:val="18"/>
                <w:szCs w:val="18"/>
              </w:rPr>
              <w:t>/</w:t>
            </w:r>
            <w:r>
              <w:rPr>
                <w:rFonts w:ascii="Arial" w:hAnsi="Arial" w:cs="Arial"/>
                <w:sz w:val="18"/>
                <w:szCs w:val="18"/>
              </w:rPr>
              <w:t>E</w:t>
            </w:r>
            <w:r w:rsidR="00243B94" w:rsidRPr="00243B94">
              <w:rPr>
                <w:rFonts w:ascii="Arial" w:hAnsi="Arial" w:cs="Arial"/>
                <w:sz w:val="18"/>
                <w:szCs w:val="18"/>
              </w:rPr>
              <w:t>N</w:t>
            </w:r>
            <w:r>
              <w:rPr>
                <w:rFonts w:ascii="Arial" w:hAnsi="Arial" w:cs="Arial"/>
                <w:sz w:val="18"/>
                <w:szCs w:val="18"/>
              </w:rPr>
              <w:t xml:space="preserve"> </w:t>
            </w:r>
            <w:r w:rsidR="00243B94" w:rsidRPr="00243B94">
              <w:rPr>
                <w:rFonts w:ascii="Arial" w:hAnsi="Arial" w:cs="Arial"/>
                <w:sz w:val="18"/>
                <w:szCs w:val="18"/>
              </w:rPr>
              <w:t>9100, AS9146</w:t>
            </w:r>
          </w:p>
          <w:p w14:paraId="1BAF46A3" w14:textId="77777777" w:rsidR="00243B94" w:rsidRPr="00243B94" w:rsidRDefault="00243B94" w:rsidP="00243B94">
            <w:pPr>
              <w:pStyle w:val="BodyText"/>
              <w:spacing w:before="60" w:after="60" w:line="240" w:lineRule="auto"/>
              <w:ind w:left="0" w:right="14"/>
              <w:rPr>
                <w:rFonts w:ascii="Arial" w:hAnsi="Arial" w:cs="Arial"/>
                <w:sz w:val="18"/>
                <w:szCs w:val="18"/>
              </w:rPr>
            </w:pPr>
            <w:r w:rsidRPr="00243B94">
              <w:rPr>
                <w:rFonts w:ascii="Arial" w:hAnsi="Arial" w:cs="Arial"/>
                <w:sz w:val="18"/>
                <w:szCs w:val="18"/>
              </w:rPr>
              <w:t>Quality</w:t>
            </w:r>
            <w:r w:rsidRPr="00243B94">
              <w:rPr>
                <w:rFonts w:ascii="Arial" w:hAnsi="Arial" w:cs="Arial"/>
                <w:spacing w:val="-22"/>
                <w:sz w:val="18"/>
                <w:szCs w:val="18"/>
              </w:rPr>
              <w:t xml:space="preserve"> </w:t>
            </w:r>
            <w:r w:rsidRPr="00243B94">
              <w:rPr>
                <w:rFonts w:ascii="Arial" w:hAnsi="Arial" w:cs="Arial"/>
                <w:sz w:val="18"/>
                <w:szCs w:val="18"/>
              </w:rPr>
              <w:t>Systems,</w:t>
            </w:r>
            <w:r w:rsidRPr="00243B94">
              <w:rPr>
                <w:rFonts w:ascii="Arial" w:hAnsi="Arial" w:cs="Arial"/>
                <w:spacing w:val="-21"/>
                <w:sz w:val="18"/>
                <w:szCs w:val="18"/>
              </w:rPr>
              <w:t xml:space="preserve"> </w:t>
            </w:r>
            <w:r w:rsidRPr="00243B94">
              <w:rPr>
                <w:rFonts w:ascii="Arial" w:hAnsi="Arial" w:cs="Arial"/>
                <w:sz w:val="18"/>
                <w:szCs w:val="18"/>
              </w:rPr>
              <w:t>Aerospace,</w:t>
            </w:r>
            <w:r w:rsidRPr="00243B94">
              <w:rPr>
                <w:rFonts w:ascii="Arial" w:hAnsi="Arial" w:cs="Arial"/>
                <w:spacing w:val="-22"/>
                <w:sz w:val="18"/>
                <w:szCs w:val="18"/>
              </w:rPr>
              <w:t xml:space="preserve"> </w:t>
            </w:r>
            <w:r w:rsidRPr="00243B94">
              <w:rPr>
                <w:rFonts w:ascii="Arial" w:hAnsi="Arial" w:cs="Arial"/>
                <w:sz w:val="18"/>
                <w:szCs w:val="18"/>
              </w:rPr>
              <w:t>Model</w:t>
            </w:r>
            <w:r w:rsidRPr="00243B94">
              <w:rPr>
                <w:rFonts w:ascii="Arial" w:hAnsi="Arial" w:cs="Arial"/>
                <w:spacing w:val="-21"/>
                <w:sz w:val="18"/>
                <w:szCs w:val="18"/>
              </w:rPr>
              <w:t xml:space="preserve"> </w:t>
            </w:r>
            <w:r w:rsidRPr="00243B94">
              <w:rPr>
                <w:rFonts w:ascii="Arial" w:hAnsi="Arial" w:cs="Arial"/>
                <w:sz w:val="18"/>
                <w:szCs w:val="18"/>
              </w:rPr>
              <w:t>for</w:t>
            </w:r>
            <w:r w:rsidRPr="00243B94">
              <w:rPr>
                <w:rFonts w:ascii="Arial" w:hAnsi="Arial" w:cs="Arial"/>
                <w:spacing w:val="-21"/>
                <w:sz w:val="18"/>
                <w:szCs w:val="18"/>
              </w:rPr>
              <w:t xml:space="preserve"> </w:t>
            </w:r>
            <w:r w:rsidRPr="00243B94">
              <w:rPr>
                <w:rFonts w:ascii="Arial" w:hAnsi="Arial" w:cs="Arial"/>
                <w:sz w:val="18"/>
                <w:szCs w:val="18"/>
              </w:rPr>
              <w:t>Quality</w:t>
            </w:r>
            <w:r w:rsidRPr="00243B94">
              <w:rPr>
                <w:rFonts w:ascii="Arial" w:hAnsi="Arial" w:cs="Arial"/>
                <w:spacing w:val="-21"/>
                <w:sz w:val="18"/>
                <w:szCs w:val="18"/>
              </w:rPr>
              <w:t xml:space="preserve"> </w:t>
            </w:r>
            <w:r w:rsidRPr="00243B94">
              <w:rPr>
                <w:rFonts w:ascii="Arial" w:hAnsi="Arial" w:cs="Arial"/>
                <w:sz w:val="18"/>
                <w:szCs w:val="18"/>
              </w:rPr>
              <w:t>Assurance</w:t>
            </w:r>
            <w:r w:rsidRPr="00243B94">
              <w:rPr>
                <w:rFonts w:ascii="Arial" w:hAnsi="Arial" w:cs="Arial"/>
                <w:spacing w:val="-21"/>
                <w:sz w:val="18"/>
                <w:szCs w:val="18"/>
              </w:rPr>
              <w:t xml:space="preserve"> </w:t>
            </w:r>
            <w:r w:rsidRPr="00243B94">
              <w:rPr>
                <w:rFonts w:ascii="Arial" w:hAnsi="Arial" w:cs="Arial"/>
                <w:sz w:val="18"/>
                <w:szCs w:val="18"/>
              </w:rPr>
              <w:t>in</w:t>
            </w:r>
            <w:r w:rsidRPr="00243B94">
              <w:rPr>
                <w:rFonts w:ascii="Arial" w:hAnsi="Arial" w:cs="Arial"/>
                <w:spacing w:val="-23"/>
                <w:sz w:val="18"/>
                <w:szCs w:val="18"/>
              </w:rPr>
              <w:t xml:space="preserve"> </w:t>
            </w:r>
            <w:r w:rsidRPr="00243B94">
              <w:rPr>
                <w:rFonts w:ascii="Arial" w:hAnsi="Arial" w:cs="Arial"/>
                <w:sz w:val="18"/>
                <w:szCs w:val="18"/>
              </w:rPr>
              <w:t>Design,</w:t>
            </w:r>
            <w:r w:rsidRPr="00243B94">
              <w:rPr>
                <w:rFonts w:ascii="Arial" w:hAnsi="Arial" w:cs="Arial"/>
                <w:spacing w:val="-21"/>
                <w:sz w:val="18"/>
                <w:szCs w:val="18"/>
              </w:rPr>
              <w:t xml:space="preserve"> </w:t>
            </w:r>
            <w:r w:rsidRPr="00243B94">
              <w:rPr>
                <w:rFonts w:ascii="Arial" w:hAnsi="Arial" w:cs="Arial"/>
                <w:sz w:val="18"/>
                <w:szCs w:val="18"/>
              </w:rPr>
              <w:t>Development, Production, Installation, and</w:t>
            </w:r>
            <w:r w:rsidRPr="00243B94">
              <w:rPr>
                <w:rFonts w:ascii="Arial" w:hAnsi="Arial" w:cs="Arial"/>
                <w:spacing w:val="-33"/>
                <w:sz w:val="18"/>
                <w:szCs w:val="18"/>
              </w:rPr>
              <w:t xml:space="preserve"> </w:t>
            </w:r>
            <w:r w:rsidRPr="00243B94">
              <w:rPr>
                <w:rFonts w:ascii="Arial" w:hAnsi="Arial" w:cs="Arial"/>
                <w:sz w:val="18"/>
                <w:szCs w:val="18"/>
              </w:rPr>
              <w:t>Servicing</w:t>
            </w:r>
          </w:p>
        </w:tc>
        <w:tc>
          <w:tcPr>
            <w:tcW w:w="2340" w:type="dxa"/>
          </w:tcPr>
          <w:p w14:paraId="2E35A41F" w14:textId="77777777" w:rsidR="00243B94" w:rsidRPr="00243B94" w:rsidRDefault="00243B94" w:rsidP="00243B94">
            <w:pPr>
              <w:pStyle w:val="BodyText"/>
              <w:spacing w:before="60" w:after="60" w:line="240" w:lineRule="auto"/>
              <w:ind w:left="0" w:right="10"/>
              <w:rPr>
                <w:rFonts w:ascii="Arial" w:hAnsi="Arial" w:cs="Arial"/>
                <w:color w:val="0563C1" w:themeColor="hyperlink"/>
                <w:sz w:val="18"/>
                <w:szCs w:val="18"/>
                <w:u w:val="single"/>
              </w:rPr>
            </w:pPr>
            <w:r w:rsidRPr="00243B94">
              <w:rPr>
                <w:rStyle w:val="Hyperlink"/>
                <w:rFonts w:ascii="Arial" w:hAnsi="Arial" w:cs="Arial"/>
                <w:sz w:val="18"/>
                <w:szCs w:val="18"/>
              </w:rPr>
              <w:t xml:space="preserve">http://www.sae.org/ </w:t>
            </w:r>
          </w:p>
        </w:tc>
        <w:tc>
          <w:tcPr>
            <w:tcW w:w="2880" w:type="dxa"/>
          </w:tcPr>
          <w:p w14:paraId="5AE608FC" w14:textId="77777777" w:rsidR="00243B94" w:rsidRPr="00243B94" w:rsidRDefault="00243B94" w:rsidP="00243B94">
            <w:pPr>
              <w:pStyle w:val="BodyText"/>
              <w:spacing w:before="60" w:after="60" w:line="240" w:lineRule="auto"/>
              <w:ind w:left="0" w:right="14"/>
              <w:rPr>
                <w:rFonts w:ascii="Arial" w:hAnsi="Arial" w:cs="Arial"/>
                <w:sz w:val="18"/>
                <w:szCs w:val="18"/>
              </w:rPr>
            </w:pPr>
            <w:r w:rsidRPr="00243B94">
              <w:rPr>
                <w:rFonts w:ascii="Arial" w:hAnsi="Arial" w:cs="Arial"/>
                <w:sz w:val="18"/>
                <w:szCs w:val="18"/>
              </w:rPr>
              <w:t>400 Commonwealth Drive Warrendale, PA 15096-0001 USA</w:t>
            </w:r>
          </w:p>
        </w:tc>
      </w:tr>
    </w:tbl>
    <w:p w14:paraId="3106598F" w14:textId="77777777" w:rsidR="00243B94" w:rsidRDefault="00243B94">
      <w:r>
        <w:br w:type="page"/>
      </w:r>
    </w:p>
    <w:tbl>
      <w:tblPr>
        <w:tblStyle w:val="TableGrid"/>
        <w:tblW w:w="9630" w:type="dxa"/>
        <w:tblInd w:w="715" w:type="dxa"/>
        <w:tblLayout w:type="fixed"/>
        <w:tblLook w:val="04A0" w:firstRow="1" w:lastRow="0" w:firstColumn="1" w:lastColumn="0" w:noHBand="0" w:noVBand="1"/>
      </w:tblPr>
      <w:tblGrid>
        <w:gridCol w:w="1710"/>
        <w:gridCol w:w="2700"/>
        <w:gridCol w:w="2340"/>
        <w:gridCol w:w="2880"/>
      </w:tblGrid>
      <w:tr w:rsidR="00243B94" w:rsidRPr="00243B94" w14:paraId="304436EA" w14:textId="77777777" w:rsidTr="00AB1036">
        <w:tc>
          <w:tcPr>
            <w:tcW w:w="1710" w:type="dxa"/>
            <w:shd w:val="clear" w:color="auto" w:fill="D9D9D9" w:themeFill="background1" w:themeFillShade="D9"/>
            <w:vAlign w:val="center"/>
          </w:tcPr>
          <w:p w14:paraId="60B1DC8D" w14:textId="38ABD3A1" w:rsidR="00243B94" w:rsidRPr="00243B94" w:rsidRDefault="00243B94" w:rsidP="00AB1036">
            <w:pPr>
              <w:pStyle w:val="BodyText"/>
              <w:spacing w:before="60" w:after="60" w:line="240" w:lineRule="auto"/>
              <w:ind w:left="0" w:right="10"/>
              <w:jc w:val="center"/>
              <w:rPr>
                <w:rFonts w:ascii="Arial" w:hAnsi="Arial" w:cs="Arial"/>
                <w:sz w:val="18"/>
                <w:szCs w:val="18"/>
              </w:rPr>
            </w:pPr>
            <w:r w:rsidRPr="00243B94">
              <w:rPr>
                <w:rFonts w:ascii="Arial" w:hAnsi="Arial" w:cs="Arial"/>
                <w:b/>
                <w:bCs/>
                <w:sz w:val="18"/>
                <w:szCs w:val="18"/>
              </w:rPr>
              <w:t>Name</w:t>
            </w:r>
          </w:p>
        </w:tc>
        <w:tc>
          <w:tcPr>
            <w:tcW w:w="2700" w:type="dxa"/>
            <w:shd w:val="clear" w:color="auto" w:fill="D9D9D9" w:themeFill="background1" w:themeFillShade="D9"/>
            <w:vAlign w:val="center"/>
          </w:tcPr>
          <w:p w14:paraId="22670795" w14:textId="32E2A560" w:rsidR="00243B94" w:rsidRPr="00243B94" w:rsidRDefault="00243B94" w:rsidP="00AB1036">
            <w:pPr>
              <w:pStyle w:val="BodyText"/>
              <w:spacing w:before="60" w:after="60" w:line="240" w:lineRule="auto"/>
              <w:ind w:left="0" w:right="10"/>
              <w:jc w:val="center"/>
              <w:rPr>
                <w:rFonts w:ascii="Arial" w:hAnsi="Arial" w:cs="Arial"/>
                <w:sz w:val="18"/>
                <w:szCs w:val="18"/>
              </w:rPr>
            </w:pPr>
            <w:r w:rsidRPr="00243B94">
              <w:rPr>
                <w:rFonts w:ascii="Arial" w:hAnsi="Arial" w:cs="Arial"/>
                <w:b/>
                <w:bCs/>
                <w:sz w:val="18"/>
                <w:szCs w:val="18"/>
              </w:rPr>
              <w:t>Description</w:t>
            </w:r>
          </w:p>
        </w:tc>
        <w:tc>
          <w:tcPr>
            <w:tcW w:w="2340" w:type="dxa"/>
            <w:shd w:val="clear" w:color="auto" w:fill="D9D9D9" w:themeFill="background1" w:themeFillShade="D9"/>
            <w:vAlign w:val="center"/>
          </w:tcPr>
          <w:p w14:paraId="659AAA5B" w14:textId="3BEF3535" w:rsidR="00243B94" w:rsidRPr="00243B94" w:rsidRDefault="00243B94" w:rsidP="00AB1036">
            <w:pPr>
              <w:pStyle w:val="BodyText"/>
              <w:spacing w:before="60" w:after="60" w:line="240" w:lineRule="auto"/>
              <w:ind w:left="0" w:right="10"/>
              <w:jc w:val="center"/>
              <w:rPr>
                <w:rFonts w:ascii="Arial" w:hAnsi="Arial" w:cs="Arial"/>
                <w:sz w:val="18"/>
                <w:szCs w:val="18"/>
              </w:rPr>
            </w:pPr>
            <w:r w:rsidRPr="00243B94">
              <w:rPr>
                <w:rFonts w:ascii="Arial" w:hAnsi="Arial" w:cs="Arial"/>
                <w:b/>
                <w:bCs/>
                <w:sz w:val="18"/>
                <w:szCs w:val="18"/>
              </w:rPr>
              <w:t>Website</w:t>
            </w:r>
          </w:p>
        </w:tc>
        <w:tc>
          <w:tcPr>
            <w:tcW w:w="2880" w:type="dxa"/>
            <w:shd w:val="clear" w:color="auto" w:fill="D9D9D9" w:themeFill="background1" w:themeFillShade="D9"/>
            <w:vAlign w:val="center"/>
          </w:tcPr>
          <w:p w14:paraId="79864CFB" w14:textId="62D90A38" w:rsidR="00243B94" w:rsidRPr="00243B94" w:rsidRDefault="00243B94" w:rsidP="00AB1036">
            <w:pPr>
              <w:pStyle w:val="BodyText"/>
              <w:spacing w:before="60" w:after="60" w:line="240" w:lineRule="auto"/>
              <w:ind w:left="0" w:right="10"/>
              <w:jc w:val="center"/>
              <w:rPr>
                <w:rFonts w:ascii="Arial" w:hAnsi="Arial" w:cs="Arial"/>
                <w:sz w:val="18"/>
                <w:szCs w:val="18"/>
              </w:rPr>
            </w:pPr>
            <w:r w:rsidRPr="00243B94">
              <w:rPr>
                <w:rFonts w:ascii="Arial" w:hAnsi="Arial" w:cs="Arial"/>
                <w:b/>
                <w:bCs/>
                <w:sz w:val="18"/>
                <w:szCs w:val="18"/>
              </w:rPr>
              <w:t>Address</w:t>
            </w:r>
          </w:p>
        </w:tc>
      </w:tr>
      <w:tr w:rsidR="00243B94" w:rsidRPr="00243B94" w14:paraId="32824431" w14:textId="77777777" w:rsidTr="00232F02">
        <w:tc>
          <w:tcPr>
            <w:tcW w:w="1710" w:type="dxa"/>
          </w:tcPr>
          <w:p w14:paraId="2BD7E70D" w14:textId="1510652E" w:rsidR="00243B94" w:rsidRPr="00243B94" w:rsidRDefault="00243B94" w:rsidP="00243B94">
            <w:pPr>
              <w:pStyle w:val="BodyText"/>
              <w:spacing w:before="60" w:after="60" w:line="240" w:lineRule="auto"/>
              <w:ind w:left="0" w:right="10"/>
              <w:rPr>
                <w:rFonts w:ascii="Arial" w:hAnsi="Arial" w:cs="Arial"/>
                <w:sz w:val="18"/>
                <w:szCs w:val="18"/>
              </w:rPr>
            </w:pPr>
            <w:r w:rsidRPr="00243B94">
              <w:rPr>
                <w:rFonts w:ascii="Arial" w:hAnsi="Arial" w:cs="Arial"/>
                <w:sz w:val="18"/>
                <w:szCs w:val="18"/>
              </w:rPr>
              <w:t xml:space="preserve">Responsible Business Alliance (formerly the Electronic Industry Citizenship Coalition (EICC)) </w:t>
            </w:r>
          </w:p>
        </w:tc>
        <w:tc>
          <w:tcPr>
            <w:tcW w:w="2700" w:type="dxa"/>
          </w:tcPr>
          <w:p w14:paraId="14C79FBD" w14:textId="006FA2E9" w:rsidR="00243B94" w:rsidRPr="00243B94" w:rsidRDefault="00243B94" w:rsidP="00243B94">
            <w:pPr>
              <w:pStyle w:val="BodyText"/>
              <w:spacing w:before="60" w:after="60" w:line="240" w:lineRule="auto"/>
              <w:ind w:left="0" w:right="10"/>
              <w:rPr>
                <w:rFonts w:ascii="Arial" w:hAnsi="Arial" w:cs="Arial"/>
                <w:sz w:val="18"/>
                <w:szCs w:val="18"/>
              </w:rPr>
            </w:pPr>
            <w:r w:rsidRPr="00243B94">
              <w:rPr>
                <w:rFonts w:ascii="Arial" w:hAnsi="Arial" w:cs="Arial"/>
                <w:sz w:val="18"/>
                <w:szCs w:val="18"/>
              </w:rPr>
              <w:t xml:space="preserve">RBA Code of Conduct, Global labor, health </w:t>
            </w:r>
            <w:r w:rsidR="0030133D">
              <w:rPr>
                <w:rFonts w:ascii="Arial" w:hAnsi="Arial" w:cs="Arial"/>
                <w:sz w:val="18"/>
                <w:szCs w:val="18"/>
              </w:rPr>
              <w:t>and</w:t>
            </w:r>
            <w:r w:rsidRPr="00243B94">
              <w:rPr>
                <w:rFonts w:ascii="Arial" w:hAnsi="Arial" w:cs="Arial"/>
                <w:sz w:val="18"/>
                <w:szCs w:val="18"/>
              </w:rPr>
              <w:t xml:space="preserve"> safety, environmental practices, business ethics, </w:t>
            </w:r>
            <w:r w:rsidR="0030133D">
              <w:rPr>
                <w:rFonts w:ascii="Arial" w:hAnsi="Arial" w:cs="Arial"/>
                <w:sz w:val="18"/>
                <w:szCs w:val="18"/>
              </w:rPr>
              <w:t>and</w:t>
            </w:r>
            <w:r w:rsidRPr="00243B94">
              <w:rPr>
                <w:rFonts w:ascii="Arial" w:hAnsi="Arial" w:cs="Arial"/>
                <w:sz w:val="18"/>
                <w:szCs w:val="18"/>
              </w:rPr>
              <w:t xml:space="preserve"> management systems including sub-tier supplier flow down</w:t>
            </w:r>
          </w:p>
        </w:tc>
        <w:tc>
          <w:tcPr>
            <w:tcW w:w="2340" w:type="dxa"/>
          </w:tcPr>
          <w:p w14:paraId="4947CA1C" w14:textId="77777777" w:rsidR="00243B94" w:rsidRPr="00243B94" w:rsidRDefault="001D5FBA" w:rsidP="00243B94">
            <w:pPr>
              <w:pStyle w:val="BodyText"/>
              <w:spacing w:before="60" w:after="60" w:line="240" w:lineRule="auto"/>
              <w:ind w:left="0" w:right="10"/>
              <w:rPr>
                <w:rFonts w:ascii="Arial" w:hAnsi="Arial" w:cs="Arial"/>
                <w:sz w:val="18"/>
                <w:szCs w:val="18"/>
              </w:rPr>
            </w:pPr>
            <w:hyperlink r:id="rId41" w:history="1">
              <w:r w:rsidR="00243B94" w:rsidRPr="00243B94">
                <w:rPr>
                  <w:rStyle w:val="Hyperlink"/>
                  <w:rFonts w:ascii="Arial" w:hAnsi="Arial" w:cs="Arial"/>
                  <w:sz w:val="18"/>
                  <w:szCs w:val="18"/>
                </w:rPr>
                <w:t>http://www.responsiblebusiness.org/standards/code-of-conduct/.</w:t>
              </w:r>
            </w:hyperlink>
          </w:p>
          <w:p w14:paraId="622173B4" w14:textId="77777777" w:rsidR="00243B94" w:rsidRPr="00243B94" w:rsidRDefault="00243B94" w:rsidP="00243B94">
            <w:pPr>
              <w:pStyle w:val="BodyText"/>
              <w:spacing w:before="60" w:after="60" w:line="240" w:lineRule="auto"/>
              <w:ind w:left="0" w:right="10"/>
              <w:rPr>
                <w:rFonts w:ascii="Arial" w:hAnsi="Arial" w:cs="Arial"/>
                <w:sz w:val="18"/>
                <w:szCs w:val="18"/>
              </w:rPr>
            </w:pPr>
          </w:p>
        </w:tc>
        <w:tc>
          <w:tcPr>
            <w:tcW w:w="2880" w:type="dxa"/>
          </w:tcPr>
          <w:p w14:paraId="3860B0EF" w14:textId="77777777" w:rsidR="00243B94" w:rsidRPr="00243B94" w:rsidRDefault="00243B94" w:rsidP="00243B94">
            <w:pPr>
              <w:pStyle w:val="BodyText"/>
              <w:spacing w:before="60" w:after="60" w:line="240" w:lineRule="auto"/>
              <w:ind w:left="0" w:right="10"/>
              <w:rPr>
                <w:rFonts w:ascii="Arial" w:hAnsi="Arial" w:cs="Arial"/>
                <w:sz w:val="18"/>
                <w:szCs w:val="18"/>
              </w:rPr>
            </w:pPr>
            <w:r w:rsidRPr="00243B94">
              <w:rPr>
                <w:rFonts w:ascii="Arial" w:hAnsi="Arial" w:cs="Arial"/>
                <w:sz w:val="18"/>
                <w:szCs w:val="18"/>
              </w:rPr>
              <w:t>1737 King Street, Suite 330</w:t>
            </w:r>
          </w:p>
          <w:p w14:paraId="707093EB" w14:textId="77777777" w:rsidR="00243B94" w:rsidRPr="00243B94" w:rsidRDefault="00243B94" w:rsidP="00243B94">
            <w:pPr>
              <w:pStyle w:val="BodyText"/>
              <w:spacing w:before="60" w:after="60" w:line="240" w:lineRule="auto"/>
              <w:ind w:left="0" w:right="10"/>
              <w:rPr>
                <w:rFonts w:ascii="Arial" w:hAnsi="Arial" w:cs="Arial"/>
                <w:sz w:val="18"/>
                <w:szCs w:val="18"/>
              </w:rPr>
            </w:pPr>
            <w:r w:rsidRPr="00243B94">
              <w:rPr>
                <w:rFonts w:ascii="Arial" w:hAnsi="Arial" w:cs="Arial"/>
                <w:sz w:val="18"/>
                <w:szCs w:val="18"/>
              </w:rPr>
              <w:t>Alexandria, VA 22314 USA</w:t>
            </w:r>
          </w:p>
          <w:p w14:paraId="29E78912" w14:textId="77777777" w:rsidR="00243B94" w:rsidRPr="00243B94" w:rsidRDefault="00243B94" w:rsidP="00243B94">
            <w:pPr>
              <w:pStyle w:val="BodyText"/>
              <w:spacing w:before="60" w:after="60" w:line="240" w:lineRule="auto"/>
              <w:ind w:left="0" w:right="14"/>
              <w:rPr>
                <w:rFonts w:ascii="Arial" w:hAnsi="Arial" w:cs="Arial"/>
                <w:sz w:val="18"/>
                <w:szCs w:val="18"/>
              </w:rPr>
            </w:pPr>
          </w:p>
        </w:tc>
      </w:tr>
      <w:tr w:rsidR="00243B94" w:rsidRPr="00243B94" w14:paraId="6D1304F5" w14:textId="77777777" w:rsidTr="00232F02">
        <w:tc>
          <w:tcPr>
            <w:tcW w:w="1710" w:type="dxa"/>
          </w:tcPr>
          <w:p w14:paraId="4A7EDEAC" w14:textId="77777777" w:rsidR="00243B94" w:rsidRPr="00243B94" w:rsidRDefault="00243B94" w:rsidP="00243B94">
            <w:pPr>
              <w:pStyle w:val="BodyText"/>
              <w:spacing w:before="60" w:after="60" w:line="240" w:lineRule="auto"/>
              <w:ind w:left="0" w:right="10"/>
              <w:rPr>
                <w:rFonts w:ascii="Arial" w:hAnsi="Arial" w:cs="Arial"/>
                <w:sz w:val="18"/>
                <w:szCs w:val="18"/>
              </w:rPr>
            </w:pPr>
            <w:r w:rsidRPr="00243B94">
              <w:rPr>
                <w:rFonts w:ascii="Arial" w:hAnsi="Arial" w:cs="Arial"/>
                <w:sz w:val="18"/>
                <w:szCs w:val="18"/>
              </w:rPr>
              <w:t>U.S. Department of Defense</w:t>
            </w:r>
          </w:p>
          <w:p w14:paraId="00314248" w14:textId="77777777" w:rsidR="00243B94" w:rsidRPr="00243B94" w:rsidRDefault="00243B94" w:rsidP="00243B94">
            <w:pPr>
              <w:pStyle w:val="BodyText"/>
              <w:spacing w:before="60" w:after="60" w:line="240" w:lineRule="auto"/>
              <w:ind w:left="0" w:right="10"/>
              <w:rPr>
                <w:rFonts w:ascii="Arial" w:hAnsi="Arial" w:cs="Arial"/>
                <w:sz w:val="18"/>
                <w:szCs w:val="18"/>
              </w:rPr>
            </w:pPr>
            <w:r w:rsidRPr="00243B94">
              <w:rPr>
                <w:rFonts w:ascii="Arial" w:hAnsi="Arial" w:cs="Arial"/>
                <w:sz w:val="18"/>
                <w:szCs w:val="18"/>
              </w:rPr>
              <w:t xml:space="preserve">Defense Standardization Program Office </w:t>
            </w:r>
          </w:p>
        </w:tc>
        <w:tc>
          <w:tcPr>
            <w:tcW w:w="2700" w:type="dxa"/>
          </w:tcPr>
          <w:p w14:paraId="7CC876CE" w14:textId="77777777" w:rsidR="00243B94" w:rsidRPr="00243B94" w:rsidRDefault="00243B94" w:rsidP="00243B94">
            <w:pPr>
              <w:pStyle w:val="BodyText"/>
              <w:spacing w:before="60" w:after="60" w:line="240" w:lineRule="auto"/>
              <w:ind w:left="0" w:right="10"/>
              <w:rPr>
                <w:rFonts w:ascii="Arial" w:hAnsi="Arial" w:cs="Arial"/>
                <w:sz w:val="18"/>
                <w:szCs w:val="18"/>
              </w:rPr>
            </w:pPr>
            <w:r w:rsidRPr="00243B94">
              <w:rPr>
                <w:rFonts w:ascii="Arial" w:hAnsi="Arial" w:cs="Arial"/>
                <w:sz w:val="18"/>
                <w:szCs w:val="18"/>
              </w:rPr>
              <w:t>Military Standard (MIL-STD) specifications</w:t>
            </w:r>
          </w:p>
          <w:p w14:paraId="3182B4F3" w14:textId="77777777" w:rsidR="00243B94" w:rsidRPr="00243B94" w:rsidRDefault="00243B94" w:rsidP="00243B94">
            <w:pPr>
              <w:pStyle w:val="BodyText"/>
              <w:spacing w:before="60" w:after="60" w:line="240" w:lineRule="auto"/>
              <w:ind w:left="0" w:right="14"/>
              <w:rPr>
                <w:rFonts w:ascii="Arial" w:hAnsi="Arial" w:cs="Arial"/>
                <w:sz w:val="18"/>
                <w:szCs w:val="18"/>
              </w:rPr>
            </w:pPr>
          </w:p>
        </w:tc>
        <w:tc>
          <w:tcPr>
            <w:tcW w:w="2340" w:type="dxa"/>
          </w:tcPr>
          <w:p w14:paraId="7E6496BB" w14:textId="77777777" w:rsidR="00243B94" w:rsidRPr="00243B94" w:rsidRDefault="001D5FBA" w:rsidP="00243B94">
            <w:pPr>
              <w:pStyle w:val="BodyText"/>
              <w:spacing w:before="60" w:after="60" w:line="240" w:lineRule="auto"/>
              <w:ind w:left="0" w:right="10"/>
              <w:rPr>
                <w:rFonts w:ascii="Arial" w:hAnsi="Arial" w:cs="Arial"/>
                <w:sz w:val="18"/>
                <w:szCs w:val="18"/>
              </w:rPr>
            </w:pPr>
            <w:hyperlink r:id="rId42" w:history="1">
              <w:r w:rsidR="00243B94" w:rsidRPr="00243B94">
                <w:rPr>
                  <w:rStyle w:val="Hyperlink"/>
                  <w:rFonts w:ascii="Arial" w:hAnsi="Arial" w:cs="Arial"/>
                  <w:sz w:val="18"/>
                  <w:szCs w:val="18"/>
                </w:rPr>
                <w:t>http://www.assistdocs.com/</w:t>
              </w:r>
            </w:hyperlink>
          </w:p>
          <w:p w14:paraId="73F77692" w14:textId="77777777" w:rsidR="00243B94" w:rsidRPr="00243B94" w:rsidRDefault="00243B94" w:rsidP="00243B94">
            <w:pPr>
              <w:pStyle w:val="BodyText"/>
              <w:spacing w:before="60" w:after="60" w:line="240" w:lineRule="auto"/>
              <w:ind w:left="0" w:right="14"/>
              <w:rPr>
                <w:rFonts w:ascii="Arial" w:hAnsi="Arial" w:cs="Arial"/>
                <w:sz w:val="18"/>
                <w:szCs w:val="18"/>
              </w:rPr>
            </w:pPr>
          </w:p>
        </w:tc>
        <w:tc>
          <w:tcPr>
            <w:tcW w:w="2880" w:type="dxa"/>
          </w:tcPr>
          <w:p w14:paraId="778CBBF1" w14:textId="77777777" w:rsidR="00243B94" w:rsidRPr="00243B94" w:rsidRDefault="00243B94" w:rsidP="00243B94">
            <w:pPr>
              <w:pStyle w:val="BodyText"/>
              <w:spacing w:before="60" w:after="60" w:line="240" w:lineRule="auto"/>
              <w:ind w:left="0" w:right="14"/>
              <w:rPr>
                <w:rFonts w:ascii="Arial" w:hAnsi="Arial" w:cs="Arial"/>
                <w:sz w:val="18"/>
                <w:szCs w:val="18"/>
              </w:rPr>
            </w:pPr>
          </w:p>
        </w:tc>
      </w:tr>
      <w:tr w:rsidR="00243B94" w:rsidRPr="00243B94" w14:paraId="2ECB7F90" w14:textId="77777777" w:rsidTr="00232F02">
        <w:tc>
          <w:tcPr>
            <w:tcW w:w="1710" w:type="dxa"/>
          </w:tcPr>
          <w:p w14:paraId="0DB22750" w14:textId="77777777" w:rsidR="00243B94" w:rsidRPr="00243B94" w:rsidRDefault="00243B94" w:rsidP="00243B94">
            <w:pPr>
              <w:pStyle w:val="BodyText"/>
              <w:spacing w:before="60" w:after="60" w:line="240" w:lineRule="auto"/>
              <w:ind w:left="0" w:right="10"/>
              <w:rPr>
                <w:rFonts w:ascii="Arial" w:hAnsi="Arial" w:cs="Arial"/>
                <w:sz w:val="18"/>
                <w:szCs w:val="18"/>
              </w:rPr>
            </w:pPr>
            <w:r w:rsidRPr="00243B94">
              <w:rPr>
                <w:rFonts w:ascii="Arial" w:hAnsi="Arial" w:cs="Arial"/>
                <w:sz w:val="18"/>
                <w:szCs w:val="18"/>
              </w:rPr>
              <w:t>U.S. Department of Labor</w:t>
            </w:r>
          </w:p>
          <w:p w14:paraId="069AE8BB" w14:textId="77777777" w:rsidR="00243B94" w:rsidRPr="00243B94" w:rsidRDefault="00243B94" w:rsidP="00243B94">
            <w:pPr>
              <w:pStyle w:val="BodyText"/>
              <w:spacing w:before="60" w:after="60" w:line="240" w:lineRule="auto"/>
              <w:ind w:left="0" w:right="10"/>
              <w:rPr>
                <w:rFonts w:ascii="Arial" w:hAnsi="Arial" w:cs="Arial"/>
                <w:sz w:val="18"/>
                <w:szCs w:val="18"/>
              </w:rPr>
            </w:pPr>
          </w:p>
          <w:p w14:paraId="7FDEF80A" w14:textId="77777777" w:rsidR="00243B94" w:rsidRPr="00243B94" w:rsidRDefault="00243B94" w:rsidP="00243B94">
            <w:pPr>
              <w:pStyle w:val="BodyText"/>
              <w:spacing w:before="60" w:after="60" w:line="240" w:lineRule="auto"/>
              <w:ind w:left="0" w:right="10"/>
              <w:rPr>
                <w:rFonts w:ascii="Arial" w:hAnsi="Arial" w:cs="Arial"/>
                <w:sz w:val="18"/>
                <w:szCs w:val="18"/>
              </w:rPr>
            </w:pPr>
            <w:r w:rsidRPr="00243B94">
              <w:rPr>
                <w:rFonts w:ascii="Arial" w:hAnsi="Arial" w:cs="Arial"/>
                <w:sz w:val="18"/>
                <w:szCs w:val="18"/>
              </w:rPr>
              <w:t xml:space="preserve">Occupational Safety &amp; Health Administration </w:t>
            </w:r>
          </w:p>
        </w:tc>
        <w:tc>
          <w:tcPr>
            <w:tcW w:w="2700" w:type="dxa"/>
          </w:tcPr>
          <w:p w14:paraId="27DE9AFC" w14:textId="77777777" w:rsidR="00243B94" w:rsidRPr="00243B94" w:rsidRDefault="00243B94" w:rsidP="00243B94">
            <w:pPr>
              <w:pStyle w:val="BodyText"/>
              <w:spacing w:before="60" w:after="60" w:line="240" w:lineRule="auto"/>
              <w:ind w:left="0" w:right="10"/>
              <w:rPr>
                <w:rFonts w:ascii="Arial" w:hAnsi="Arial" w:cs="Arial"/>
                <w:sz w:val="18"/>
                <w:szCs w:val="18"/>
              </w:rPr>
            </w:pPr>
            <w:r w:rsidRPr="00243B94">
              <w:rPr>
                <w:rFonts w:ascii="Arial" w:hAnsi="Arial" w:cs="Arial"/>
                <w:sz w:val="18"/>
                <w:szCs w:val="18"/>
              </w:rPr>
              <w:t>Hazard Communication Standard: Safety Data Sheets (SDS)</w:t>
            </w:r>
          </w:p>
          <w:p w14:paraId="21EC790F" w14:textId="77777777" w:rsidR="00243B94" w:rsidRPr="00243B94" w:rsidRDefault="00243B94" w:rsidP="00243B94">
            <w:pPr>
              <w:pStyle w:val="BodyText"/>
              <w:spacing w:before="60" w:after="60" w:line="240" w:lineRule="auto"/>
              <w:ind w:left="0" w:right="14"/>
              <w:rPr>
                <w:rFonts w:ascii="Arial" w:hAnsi="Arial" w:cs="Arial"/>
                <w:sz w:val="18"/>
                <w:szCs w:val="18"/>
              </w:rPr>
            </w:pPr>
          </w:p>
        </w:tc>
        <w:tc>
          <w:tcPr>
            <w:tcW w:w="2340" w:type="dxa"/>
          </w:tcPr>
          <w:p w14:paraId="07ED012E" w14:textId="77777777" w:rsidR="00243B94" w:rsidRPr="00243B94" w:rsidRDefault="00243B94" w:rsidP="00243B94">
            <w:pPr>
              <w:pStyle w:val="BodyText"/>
              <w:spacing w:before="60" w:after="60" w:line="240" w:lineRule="auto"/>
              <w:ind w:left="0" w:right="10"/>
              <w:rPr>
                <w:rStyle w:val="Hyperlink"/>
                <w:rFonts w:ascii="Arial" w:hAnsi="Arial" w:cs="Arial"/>
                <w:sz w:val="18"/>
                <w:szCs w:val="18"/>
              </w:rPr>
            </w:pPr>
            <w:r w:rsidRPr="00243B94">
              <w:rPr>
                <w:rStyle w:val="Hyperlink"/>
                <w:rFonts w:ascii="Arial" w:hAnsi="Arial" w:cs="Arial"/>
                <w:sz w:val="18"/>
                <w:szCs w:val="18"/>
              </w:rPr>
              <w:t>https://</w:t>
            </w:r>
            <w:hyperlink r:id="rId43">
              <w:r w:rsidRPr="00243B94">
                <w:rPr>
                  <w:rStyle w:val="Hyperlink"/>
                  <w:rFonts w:ascii="Arial" w:hAnsi="Arial" w:cs="Arial"/>
                  <w:sz w:val="18"/>
                  <w:szCs w:val="18"/>
                </w:rPr>
                <w:t>www.osha.gov/Publications/OSHA3514.html</w:t>
              </w:r>
            </w:hyperlink>
          </w:p>
          <w:p w14:paraId="2A52F530" w14:textId="77777777" w:rsidR="00243B94" w:rsidRPr="00243B94" w:rsidRDefault="00243B94" w:rsidP="00243B94">
            <w:pPr>
              <w:pStyle w:val="BodyText"/>
              <w:spacing w:before="60" w:after="60" w:line="240" w:lineRule="auto"/>
              <w:ind w:left="0" w:right="14"/>
              <w:rPr>
                <w:rFonts w:ascii="Arial" w:hAnsi="Arial" w:cs="Arial"/>
                <w:sz w:val="18"/>
                <w:szCs w:val="18"/>
              </w:rPr>
            </w:pPr>
          </w:p>
        </w:tc>
        <w:tc>
          <w:tcPr>
            <w:tcW w:w="2880" w:type="dxa"/>
          </w:tcPr>
          <w:p w14:paraId="4B95041C" w14:textId="77777777" w:rsidR="00243B94" w:rsidRPr="00243B94" w:rsidRDefault="00243B94" w:rsidP="00243B94">
            <w:pPr>
              <w:pStyle w:val="BodyText"/>
              <w:spacing w:before="60" w:after="60" w:line="240" w:lineRule="auto"/>
              <w:ind w:left="0" w:right="14"/>
              <w:rPr>
                <w:rFonts w:ascii="Arial" w:hAnsi="Arial" w:cs="Arial"/>
                <w:sz w:val="18"/>
                <w:szCs w:val="18"/>
              </w:rPr>
            </w:pPr>
          </w:p>
        </w:tc>
      </w:tr>
      <w:tr w:rsidR="00243B94" w:rsidRPr="00243B94" w14:paraId="31B7D34A" w14:textId="77777777" w:rsidTr="00232F02">
        <w:tc>
          <w:tcPr>
            <w:tcW w:w="1710" w:type="dxa"/>
          </w:tcPr>
          <w:p w14:paraId="4FE98589" w14:textId="77777777" w:rsidR="00243B94" w:rsidRPr="00243B94" w:rsidRDefault="00243B94" w:rsidP="00243B94">
            <w:pPr>
              <w:pStyle w:val="BodyText"/>
              <w:spacing w:before="60" w:after="60" w:line="240" w:lineRule="auto"/>
              <w:ind w:left="0" w:right="14"/>
              <w:rPr>
                <w:rFonts w:ascii="Arial" w:hAnsi="Arial" w:cs="Arial"/>
                <w:sz w:val="18"/>
                <w:szCs w:val="18"/>
              </w:rPr>
            </w:pPr>
            <w:r w:rsidRPr="00243B94">
              <w:rPr>
                <w:rFonts w:ascii="Arial" w:hAnsi="Arial" w:cs="Arial"/>
                <w:sz w:val="18"/>
                <w:szCs w:val="18"/>
              </w:rPr>
              <w:t>U.S. Department of State</w:t>
            </w:r>
          </w:p>
          <w:p w14:paraId="4CB4CAE3" w14:textId="77777777" w:rsidR="00243B94" w:rsidRPr="00243B94" w:rsidRDefault="00243B94" w:rsidP="00243B94">
            <w:pPr>
              <w:pStyle w:val="BodyText"/>
              <w:spacing w:before="60" w:after="60" w:line="240" w:lineRule="auto"/>
              <w:ind w:left="0" w:right="14"/>
              <w:rPr>
                <w:rFonts w:ascii="Arial" w:hAnsi="Arial" w:cs="Arial"/>
                <w:sz w:val="18"/>
                <w:szCs w:val="18"/>
              </w:rPr>
            </w:pPr>
          </w:p>
          <w:p w14:paraId="4ED83271" w14:textId="77777777" w:rsidR="00243B94" w:rsidRPr="00243B94" w:rsidRDefault="00243B94" w:rsidP="00243B94">
            <w:pPr>
              <w:pStyle w:val="BodyText"/>
              <w:spacing w:before="60" w:after="60" w:line="240" w:lineRule="auto"/>
              <w:ind w:left="0" w:right="14"/>
              <w:rPr>
                <w:rFonts w:ascii="Arial" w:hAnsi="Arial" w:cs="Arial"/>
                <w:sz w:val="18"/>
                <w:szCs w:val="18"/>
              </w:rPr>
            </w:pPr>
            <w:r w:rsidRPr="00243B94">
              <w:rPr>
                <w:rFonts w:ascii="Arial" w:hAnsi="Arial" w:cs="Arial"/>
                <w:sz w:val="18"/>
                <w:szCs w:val="18"/>
              </w:rPr>
              <w:t>Defense Standardization Program Office</w:t>
            </w:r>
          </w:p>
        </w:tc>
        <w:tc>
          <w:tcPr>
            <w:tcW w:w="2700" w:type="dxa"/>
          </w:tcPr>
          <w:p w14:paraId="5713F9EF" w14:textId="77777777" w:rsidR="00243B94" w:rsidRPr="00243B94" w:rsidRDefault="00243B94" w:rsidP="00243B94">
            <w:pPr>
              <w:pStyle w:val="BodyText"/>
              <w:spacing w:before="60" w:after="60" w:line="240" w:lineRule="auto"/>
              <w:ind w:left="0" w:right="10"/>
              <w:rPr>
                <w:rFonts w:ascii="Arial" w:hAnsi="Arial" w:cs="Arial"/>
                <w:sz w:val="18"/>
                <w:szCs w:val="18"/>
              </w:rPr>
            </w:pPr>
            <w:r w:rsidRPr="00243B94">
              <w:rPr>
                <w:rFonts w:ascii="Arial" w:hAnsi="Arial" w:cs="Arial"/>
                <w:sz w:val="18"/>
                <w:szCs w:val="18"/>
              </w:rPr>
              <w:t>International Traffic in Arms Regulations (ITAR)</w:t>
            </w:r>
          </w:p>
          <w:p w14:paraId="34681A58" w14:textId="77777777" w:rsidR="00243B94" w:rsidRPr="00243B94" w:rsidRDefault="00243B94" w:rsidP="00243B94">
            <w:pPr>
              <w:pStyle w:val="BodyText"/>
              <w:spacing w:before="60" w:after="60" w:line="240" w:lineRule="auto"/>
              <w:ind w:left="0" w:right="14"/>
              <w:rPr>
                <w:rFonts w:ascii="Arial" w:hAnsi="Arial" w:cs="Arial"/>
                <w:sz w:val="18"/>
                <w:szCs w:val="18"/>
              </w:rPr>
            </w:pPr>
          </w:p>
        </w:tc>
        <w:tc>
          <w:tcPr>
            <w:tcW w:w="2340" w:type="dxa"/>
          </w:tcPr>
          <w:p w14:paraId="18C7779D" w14:textId="77777777" w:rsidR="00243B94" w:rsidRPr="00243B94" w:rsidRDefault="00243B94" w:rsidP="00243B94">
            <w:pPr>
              <w:pStyle w:val="BodyText"/>
              <w:spacing w:before="60" w:after="60" w:line="240" w:lineRule="auto"/>
              <w:ind w:left="0" w:right="10"/>
              <w:rPr>
                <w:rStyle w:val="Hyperlink"/>
                <w:rFonts w:ascii="Arial" w:hAnsi="Arial" w:cs="Arial"/>
                <w:sz w:val="18"/>
                <w:szCs w:val="18"/>
              </w:rPr>
            </w:pPr>
            <w:r w:rsidRPr="00243B94">
              <w:rPr>
                <w:rStyle w:val="Hyperlink"/>
                <w:rFonts w:ascii="Arial" w:hAnsi="Arial" w:cs="Arial"/>
                <w:sz w:val="18"/>
                <w:szCs w:val="18"/>
              </w:rPr>
              <w:t>https://</w:t>
            </w:r>
            <w:hyperlink r:id="rId44">
              <w:r w:rsidRPr="00243B94">
                <w:rPr>
                  <w:rStyle w:val="Hyperlink"/>
                  <w:rFonts w:ascii="Arial" w:hAnsi="Arial" w:cs="Arial"/>
                  <w:sz w:val="18"/>
                  <w:szCs w:val="18"/>
                </w:rPr>
                <w:t>www.pmddtc.state.gov/regulations_laws/itar.html</w:t>
              </w:r>
            </w:hyperlink>
          </w:p>
          <w:p w14:paraId="37448D1D" w14:textId="77777777" w:rsidR="00243B94" w:rsidRPr="00243B94" w:rsidRDefault="00243B94" w:rsidP="00243B94">
            <w:pPr>
              <w:pStyle w:val="BodyText"/>
              <w:spacing w:before="60" w:after="60" w:line="240" w:lineRule="auto"/>
              <w:ind w:left="0" w:right="14"/>
              <w:rPr>
                <w:rStyle w:val="Hyperlink"/>
                <w:rFonts w:ascii="Arial" w:hAnsi="Arial" w:cs="Arial"/>
                <w:sz w:val="18"/>
                <w:szCs w:val="18"/>
              </w:rPr>
            </w:pPr>
          </w:p>
        </w:tc>
        <w:tc>
          <w:tcPr>
            <w:tcW w:w="2880" w:type="dxa"/>
          </w:tcPr>
          <w:p w14:paraId="5BE66B86" w14:textId="77777777" w:rsidR="00243B94" w:rsidRPr="00243B94" w:rsidRDefault="00243B94" w:rsidP="00243B94">
            <w:pPr>
              <w:pStyle w:val="BodyText"/>
              <w:spacing w:before="60" w:after="60" w:line="240" w:lineRule="auto"/>
              <w:ind w:left="0" w:right="14"/>
              <w:rPr>
                <w:rFonts w:ascii="Arial" w:hAnsi="Arial" w:cs="Arial"/>
                <w:sz w:val="18"/>
                <w:szCs w:val="18"/>
              </w:rPr>
            </w:pPr>
          </w:p>
        </w:tc>
      </w:tr>
      <w:tr w:rsidR="00243B94" w:rsidRPr="00243B94" w14:paraId="3B05E151" w14:textId="77777777" w:rsidTr="00232F02">
        <w:tc>
          <w:tcPr>
            <w:tcW w:w="1710" w:type="dxa"/>
          </w:tcPr>
          <w:p w14:paraId="74318F07" w14:textId="77777777" w:rsidR="00243B94" w:rsidRPr="00243B94" w:rsidRDefault="00243B94" w:rsidP="00243B94">
            <w:pPr>
              <w:pStyle w:val="BodyText"/>
              <w:spacing w:before="60" w:after="60" w:line="240" w:lineRule="auto"/>
              <w:ind w:left="0" w:right="10"/>
              <w:rPr>
                <w:rFonts w:ascii="Arial" w:hAnsi="Arial" w:cs="Arial"/>
                <w:sz w:val="18"/>
                <w:szCs w:val="18"/>
              </w:rPr>
            </w:pPr>
            <w:r w:rsidRPr="00243B94">
              <w:rPr>
                <w:rFonts w:ascii="Arial" w:hAnsi="Arial" w:cs="Arial"/>
                <w:sz w:val="18"/>
                <w:szCs w:val="18"/>
              </w:rPr>
              <w:t>U.S. Environmental Protection Agency TSCA Substance Registry Services</w:t>
            </w:r>
          </w:p>
          <w:p w14:paraId="2C48F4E2" w14:textId="77777777" w:rsidR="00243B94" w:rsidRPr="00243B94" w:rsidRDefault="00243B94" w:rsidP="00243B94">
            <w:pPr>
              <w:pStyle w:val="BodyText"/>
              <w:spacing w:before="60" w:after="60" w:line="240" w:lineRule="auto"/>
              <w:ind w:left="0" w:right="14"/>
              <w:rPr>
                <w:rFonts w:ascii="Arial" w:hAnsi="Arial" w:cs="Arial"/>
                <w:sz w:val="18"/>
                <w:szCs w:val="18"/>
              </w:rPr>
            </w:pPr>
          </w:p>
        </w:tc>
        <w:tc>
          <w:tcPr>
            <w:tcW w:w="2700" w:type="dxa"/>
          </w:tcPr>
          <w:p w14:paraId="05E746F7" w14:textId="77777777" w:rsidR="00243B94" w:rsidRPr="00243B94" w:rsidRDefault="00243B94" w:rsidP="00243B94">
            <w:pPr>
              <w:pStyle w:val="BodyText"/>
              <w:spacing w:before="60" w:after="60" w:line="240" w:lineRule="auto"/>
              <w:ind w:left="0" w:right="14"/>
              <w:rPr>
                <w:rFonts w:ascii="Arial" w:hAnsi="Arial" w:cs="Arial"/>
                <w:sz w:val="18"/>
                <w:szCs w:val="18"/>
              </w:rPr>
            </w:pPr>
            <w:r w:rsidRPr="00243B94">
              <w:rPr>
                <w:rFonts w:ascii="Arial" w:hAnsi="Arial" w:cs="Arial"/>
                <w:sz w:val="18"/>
                <w:szCs w:val="18"/>
              </w:rPr>
              <w:t>Toxic Substances Control Act</w:t>
            </w:r>
          </w:p>
        </w:tc>
        <w:tc>
          <w:tcPr>
            <w:tcW w:w="2340" w:type="dxa"/>
          </w:tcPr>
          <w:p w14:paraId="149A2270" w14:textId="77777777" w:rsidR="00243B94" w:rsidRPr="00243B94" w:rsidRDefault="001D5FBA" w:rsidP="00243B94">
            <w:pPr>
              <w:pStyle w:val="BodyText"/>
              <w:spacing w:before="60" w:after="60" w:line="240" w:lineRule="auto"/>
              <w:ind w:left="0" w:right="10"/>
              <w:rPr>
                <w:rFonts w:ascii="Arial" w:hAnsi="Arial" w:cs="Arial"/>
                <w:sz w:val="18"/>
                <w:szCs w:val="18"/>
                <w:u w:val="single"/>
              </w:rPr>
            </w:pPr>
            <w:hyperlink r:id="rId45" w:history="1">
              <w:r w:rsidR="00243B94" w:rsidRPr="00243B94">
                <w:rPr>
                  <w:rStyle w:val="Hyperlink"/>
                  <w:rFonts w:ascii="Arial" w:hAnsi="Arial" w:cs="Arial"/>
                  <w:sz w:val="18"/>
                  <w:szCs w:val="18"/>
                </w:rPr>
                <w:t>http://ofmpub.epa.gov/sor_internet/registry/substreg/home/overview/home.do</w:t>
              </w:r>
            </w:hyperlink>
            <w:r w:rsidR="00243B94" w:rsidRPr="00243B94">
              <w:rPr>
                <w:rFonts w:ascii="Arial" w:hAnsi="Arial" w:cs="Arial"/>
                <w:sz w:val="18"/>
                <w:szCs w:val="18"/>
                <w:u w:val="single"/>
              </w:rPr>
              <w:t xml:space="preserve"> </w:t>
            </w:r>
          </w:p>
          <w:p w14:paraId="7827D8B5" w14:textId="77777777" w:rsidR="00243B94" w:rsidRPr="00243B94" w:rsidRDefault="00243B94" w:rsidP="00243B94">
            <w:pPr>
              <w:pStyle w:val="BodyText"/>
              <w:spacing w:before="60" w:after="60" w:line="240" w:lineRule="auto"/>
              <w:ind w:left="0" w:right="10"/>
              <w:rPr>
                <w:rFonts w:ascii="Arial" w:hAnsi="Arial" w:cs="Arial"/>
                <w:sz w:val="18"/>
                <w:szCs w:val="18"/>
                <w:u w:val="single"/>
              </w:rPr>
            </w:pPr>
          </w:p>
          <w:p w14:paraId="2BB19689" w14:textId="77777777" w:rsidR="00243B94" w:rsidRPr="00243B94" w:rsidRDefault="00243B94" w:rsidP="00243B94">
            <w:pPr>
              <w:pStyle w:val="BodyText"/>
              <w:spacing w:before="60" w:after="60" w:line="240" w:lineRule="auto"/>
              <w:ind w:left="0" w:right="10"/>
              <w:rPr>
                <w:rFonts w:ascii="Arial" w:hAnsi="Arial" w:cs="Arial"/>
                <w:sz w:val="18"/>
                <w:szCs w:val="18"/>
              </w:rPr>
            </w:pPr>
            <w:r w:rsidRPr="00243B94">
              <w:rPr>
                <w:rStyle w:val="Hyperlink"/>
                <w:rFonts w:ascii="Arial" w:hAnsi="Arial" w:cs="Arial"/>
                <w:sz w:val="18"/>
                <w:szCs w:val="18"/>
              </w:rPr>
              <w:t>https://www.epa.gov/laws-regulations/summary-toxic-substances-control-act</w:t>
            </w:r>
          </w:p>
        </w:tc>
        <w:tc>
          <w:tcPr>
            <w:tcW w:w="2880" w:type="dxa"/>
          </w:tcPr>
          <w:p w14:paraId="56E8C622" w14:textId="77777777" w:rsidR="00243B94" w:rsidRPr="00243B94" w:rsidRDefault="00243B94" w:rsidP="00243B94">
            <w:pPr>
              <w:pStyle w:val="BodyText"/>
              <w:spacing w:before="60" w:after="60" w:line="240" w:lineRule="auto"/>
              <w:ind w:left="0" w:right="14"/>
              <w:rPr>
                <w:rFonts w:ascii="Arial" w:hAnsi="Arial" w:cs="Arial"/>
                <w:sz w:val="18"/>
                <w:szCs w:val="18"/>
              </w:rPr>
            </w:pPr>
          </w:p>
        </w:tc>
      </w:tr>
      <w:tr w:rsidR="00243B94" w:rsidRPr="00243B94" w14:paraId="46D8BF9A" w14:textId="77777777" w:rsidTr="00232F02">
        <w:tc>
          <w:tcPr>
            <w:tcW w:w="1710" w:type="dxa"/>
          </w:tcPr>
          <w:p w14:paraId="6BA1A788" w14:textId="77777777" w:rsidR="00243B94" w:rsidRPr="00243B94" w:rsidRDefault="00243B94" w:rsidP="00243B94">
            <w:pPr>
              <w:pStyle w:val="BodyText"/>
              <w:spacing w:before="60" w:after="60" w:line="240" w:lineRule="auto"/>
              <w:ind w:left="0" w:right="10"/>
              <w:rPr>
                <w:rFonts w:ascii="Arial" w:hAnsi="Arial" w:cs="Arial"/>
                <w:sz w:val="18"/>
                <w:szCs w:val="18"/>
              </w:rPr>
            </w:pPr>
            <w:r w:rsidRPr="00243B94">
              <w:rPr>
                <w:rFonts w:ascii="Arial" w:hAnsi="Arial" w:cs="Arial"/>
                <w:sz w:val="18"/>
                <w:szCs w:val="18"/>
              </w:rPr>
              <w:t>U.S. Securities &amp; Exchange Commission</w:t>
            </w:r>
          </w:p>
          <w:p w14:paraId="33A4F4B5" w14:textId="77777777" w:rsidR="00243B94" w:rsidRPr="00243B94" w:rsidRDefault="00243B94" w:rsidP="00243B94">
            <w:pPr>
              <w:pStyle w:val="BodyText"/>
              <w:spacing w:before="60" w:after="60" w:line="240" w:lineRule="auto"/>
              <w:ind w:left="0" w:right="14"/>
              <w:rPr>
                <w:rFonts w:ascii="Arial" w:hAnsi="Arial" w:cs="Arial"/>
                <w:sz w:val="18"/>
                <w:szCs w:val="18"/>
              </w:rPr>
            </w:pPr>
          </w:p>
          <w:p w14:paraId="5A4C9799" w14:textId="77777777" w:rsidR="00243B94" w:rsidRPr="00243B94" w:rsidRDefault="00243B94" w:rsidP="00243B94">
            <w:pPr>
              <w:pStyle w:val="BodyText"/>
              <w:spacing w:before="60" w:after="60" w:line="240" w:lineRule="auto"/>
              <w:ind w:left="0" w:right="14"/>
              <w:rPr>
                <w:rFonts w:ascii="Arial" w:hAnsi="Arial" w:cs="Arial"/>
                <w:sz w:val="18"/>
                <w:szCs w:val="18"/>
              </w:rPr>
            </w:pPr>
            <w:r w:rsidRPr="00243B94">
              <w:rPr>
                <w:rFonts w:ascii="Arial" w:hAnsi="Arial" w:cs="Arial"/>
                <w:sz w:val="18"/>
                <w:szCs w:val="18"/>
              </w:rPr>
              <w:t>Section 1502 of Dodd-Frank Wall Street Reform and Consumer Protection Act</w:t>
            </w:r>
          </w:p>
        </w:tc>
        <w:tc>
          <w:tcPr>
            <w:tcW w:w="2700" w:type="dxa"/>
          </w:tcPr>
          <w:p w14:paraId="4760AC3D" w14:textId="77777777" w:rsidR="00243B94" w:rsidRPr="00243B94" w:rsidRDefault="00243B94" w:rsidP="00243B94">
            <w:pPr>
              <w:pStyle w:val="BodyText"/>
              <w:spacing w:before="60" w:after="60" w:line="240" w:lineRule="auto"/>
              <w:ind w:left="0" w:right="10"/>
              <w:rPr>
                <w:rFonts w:ascii="Arial" w:hAnsi="Arial" w:cs="Arial"/>
                <w:sz w:val="18"/>
                <w:szCs w:val="18"/>
              </w:rPr>
            </w:pPr>
            <w:r w:rsidRPr="00243B94">
              <w:rPr>
                <w:rFonts w:ascii="Arial" w:hAnsi="Arial" w:cs="Arial"/>
                <w:sz w:val="18"/>
                <w:szCs w:val="18"/>
              </w:rPr>
              <w:t>Rule for Disclosing Use of Conflict Materials</w:t>
            </w:r>
          </w:p>
          <w:p w14:paraId="62BC69F6" w14:textId="77777777" w:rsidR="00243B94" w:rsidRPr="00243B94" w:rsidRDefault="00243B94" w:rsidP="00243B94">
            <w:pPr>
              <w:pStyle w:val="BodyText"/>
              <w:spacing w:before="60" w:after="60" w:line="240" w:lineRule="auto"/>
              <w:ind w:left="0" w:right="14"/>
              <w:rPr>
                <w:rFonts w:ascii="Arial" w:hAnsi="Arial" w:cs="Arial"/>
                <w:sz w:val="18"/>
                <w:szCs w:val="18"/>
              </w:rPr>
            </w:pPr>
          </w:p>
        </w:tc>
        <w:tc>
          <w:tcPr>
            <w:tcW w:w="2340" w:type="dxa"/>
          </w:tcPr>
          <w:p w14:paraId="7139FF58" w14:textId="77777777" w:rsidR="00243B94" w:rsidRPr="00243B94" w:rsidRDefault="001D5FBA" w:rsidP="00243B94">
            <w:pPr>
              <w:pStyle w:val="BodyText"/>
              <w:spacing w:before="60" w:after="60" w:line="240" w:lineRule="auto"/>
              <w:ind w:left="0" w:right="10"/>
              <w:rPr>
                <w:rStyle w:val="Hyperlink"/>
                <w:rFonts w:ascii="Arial" w:hAnsi="Arial" w:cs="Arial"/>
                <w:sz w:val="18"/>
                <w:szCs w:val="18"/>
              </w:rPr>
            </w:pPr>
            <w:hyperlink r:id="rId46">
              <w:r w:rsidR="00243B94" w:rsidRPr="00243B94">
                <w:rPr>
                  <w:rStyle w:val="Hyperlink"/>
                  <w:rFonts w:ascii="Arial" w:hAnsi="Arial" w:cs="Arial"/>
                  <w:sz w:val="18"/>
                  <w:szCs w:val="18"/>
                </w:rPr>
                <w:t>http://www.sec.gov/News/PressRelease/Detail/PressRelease/1365171484002</w:t>
              </w:r>
            </w:hyperlink>
          </w:p>
          <w:p w14:paraId="5905D245" w14:textId="77777777" w:rsidR="00243B94" w:rsidRPr="00243B94" w:rsidRDefault="00243B94" w:rsidP="00243B94">
            <w:pPr>
              <w:pStyle w:val="BodyText"/>
              <w:spacing w:before="60" w:after="60" w:line="240" w:lineRule="auto"/>
              <w:ind w:left="0" w:right="14"/>
              <w:rPr>
                <w:rFonts w:ascii="Arial" w:hAnsi="Arial" w:cs="Arial"/>
                <w:sz w:val="18"/>
                <w:szCs w:val="18"/>
              </w:rPr>
            </w:pPr>
          </w:p>
        </w:tc>
        <w:tc>
          <w:tcPr>
            <w:tcW w:w="2880" w:type="dxa"/>
          </w:tcPr>
          <w:p w14:paraId="4F609248" w14:textId="77777777" w:rsidR="00243B94" w:rsidRPr="00243B94" w:rsidRDefault="00243B94" w:rsidP="00243B94">
            <w:pPr>
              <w:pStyle w:val="BodyText"/>
              <w:spacing w:before="60" w:after="60" w:line="240" w:lineRule="auto"/>
              <w:ind w:left="0" w:right="14"/>
              <w:rPr>
                <w:rFonts w:ascii="Arial" w:hAnsi="Arial" w:cs="Arial"/>
                <w:sz w:val="18"/>
                <w:szCs w:val="18"/>
              </w:rPr>
            </w:pPr>
          </w:p>
        </w:tc>
      </w:tr>
    </w:tbl>
    <w:p w14:paraId="5F855BFD" w14:textId="77777777" w:rsidR="00E26FE2" w:rsidRDefault="00E26FE2" w:rsidP="00066290">
      <w:pPr>
        <w:pStyle w:val="kj0010TextOnly"/>
        <w:rPr>
          <w:rFonts w:cs="Arial"/>
        </w:rPr>
      </w:pPr>
    </w:p>
    <w:p w14:paraId="74587264" w14:textId="77777777" w:rsidR="00EF5E0D" w:rsidRDefault="00EF5E0D" w:rsidP="00066290">
      <w:pPr>
        <w:pStyle w:val="kj0010TextOnly"/>
        <w:rPr>
          <w:rFonts w:cs="Arial"/>
        </w:rPr>
      </w:pPr>
    </w:p>
    <w:p w14:paraId="7D9F2379" w14:textId="77777777" w:rsidR="00E26FE2" w:rsidRDefault="00E26FE2" w:rsidP="00066290">
      <w:pPr>
        <w:pStyle w:val="kj0010TextOnly"/>
        <w:rPr>
          <w:rFonts w:cs="Arial"/>
        </w:rPr>
      </w:pPr>
    </w:p>
    <w:p w14:paraId="4E3822A9" w14:textId="77777777" w:rsidR="00E26FE2" w:rsidRDefault="00E26FE2" w:rsidP="00066290">
      <w:pPr>
        <w:pStyle w:val="kj0010TextOnly"/>
        <w:rPr>
          <w:rFonts w:cs="Arial"/>
        </w:rPr>
      </w:pPr>
    </w:p>
    <w:p w14:paraId="28540E1E" w14:textId="53CB2B3A" w:rsidR="00F2374D" w:rsidRPr="00066290" w:rsidRDefault="001D5FBA" w:rsidP="00F2374D">
      <w:pPr>
        <w:rPr>
          <w:rFonts w:cs="Arial"/>
        </w:rPr>
      </w:pPr>
      <w:hyperlink w:anchor="TableOfContents" w:history="1">
        <w:r w:rsidR="00F2374D" w:rsidRPr="00066290">
          <w:rPr>
            <w:rStyle w:val="Hyperlink"/>
            <w:rFonts w:cs="Arial"/>
            <w:sz w:val="16"/>
            <w:szCs w:val="14"/>
          </w:rPr>
          <w:t>Return to Table of Contents</w:t>
        </w:r>
      </w:hyperlink>
    </w:p>
    <w:sectPr w:rsidR="00F2374D" w:rsidRPr="00066290" w:rsidSect="00BA1391">
      <w:headerReference w:type="default" r:id="rId47"/>
      <w:footerReference w:type="default" r:id="rId48"/>
      <w:pgSz w:w="12240" w:h="15840" w:code="1"/>
      <w:pgMar w:top="1440" w:right="720" w:bottom="720" w:left="720" w:header="907"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52498" w14:textId="77777777" w:rsidR="00066290" w:rsidRDefault="00066290" w:rsidP="00066290">
      <w:pPr>
        <w:spacing w:line="240" w:lineRule="auto"/>
      </w:pPr>
      <w:r>
        <w:separator/>
      </w:r>
    </w:p>
  </w:endnote>
  <w:endnote w:type="continuationSeparator" w:id="0">
    <w:p w14:paraId="0E81596B" w14:textId="77777777" w:rsidR="00066290" w:rsidRDefault="00066290" w:rsidP="000662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1B13B" w14:textId="77777777" w:rsidR="00066290" w:rsidRPr="008C73E3" w:rsidRDefault="00066290" w:rsidP="00BA1391">
    <w:pPr>
      <w:rPr>
        <w:rFonts w:cs="Arial"/>
        <w:sz w:val="10"/>
        <w:szCs w:val="10"/>
      </w:rPr>
    </w:pPr>
  </w:p>
  <w:tbl>
    <w:tblPr>
      <w:tblW w:w="11193" w:type="dxa"/>
      <w:tblInd w:w="-19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000" w:firstRow="0" w:lastRow="0" w:firstColumn="0" w:lastColumn="0" w:noHBand="0" w:noVBand="0"/>
    </w:tblPr>
    <w:tblGrid>
      <w:gridCol w:w="2910"/>
      <w:gridCol w:w="632"/>
      <w:gridCol w:w="810"/>
      <w:gridCol w:w="1468"/>
      <w:gridCol w:w="2493"/>
      <w:gridCol w:w="417"/>
      <w:gridCol w:w="1023"/>
      <w:gridCol w:w="1440"/>
    </w:tblGrid>
    <w:tr w:rsidR="00066290" w:rsidRPr="008C73E3" w14:paraId="72224DC7" w14:textId="77777777" w:rsidTr="00720916">
      <w:trPr>
        <w:trHeight w:val="517"/>
      </w:trPr>
      <w:tc>
        <w:tcPr>
          <w:tcW w:w="2910" w:type="dxa"/>
          <w:tcBorders>
            <w:top w:val="single" w:sz="12" w:space="0" w:color="auto"/>
            <w:left w:val="single" w:sz="12" w:space="0" w:color="auto"/>
            <w:bottom w:val="single" w:sz="4" w:space="0" w:color="auto"/>
            <w:right w:val="single" w:sz="6" w:space="0" w:color="auto"/>
          </w:tcBorders>
        </w:tcPr>
        <w:p w14:paraId="4088DBF5" w14:textId="77777777" w:rsidR="00066290" w:rsidRPr="008C73E3" w:rsidRDefault="00066290" w:rsidP="00066290">
          <w:pPr>
            <w:pStyle w:val="Footer"/>
            <w:spacing w:before="60"/>
            <w:rPr>
              <w:rFonts w:ascii="Arial Narrow" w:hAnsi="Arial Narrow" w:cs="Arial"/>
              <w:sz w:val="16"/>
              <w:szCs w:val="16"/>
            </w:rPr>
          </w:pPr>
          <w:r w:rsidRPr="008C73E3">
            <w:rPr>
              <w:rFonts w:ascii="Arial Narrow" w:hAnsi="Arial Narrow" w:cs="Arial"/>
              <w:sz w:val="16"/>
              <w:szCs w:val="16"/>
            </w:rPr>
            <w:t>AUTHOR</w:t>
          </w:r>
          <w:r>
            <w:rPr>
              <w:rFonts w:ascii="Arial Narrow" w:hAnsi="Arial Narrow" w:cs="Arial"/>
              <w:sz w:val="16"/>
              <w:szCs w:val="16"/>
            </w:rPr>
            <w:t xml:space="preserve"> and REVISOR</w:t>
          </w:r>
        </w:p>
        <w:p w14:paraId="5D6B1055" w14:textId="43FCF399" w:rsidR="00066290" w:rsidRPr="008C73E3" w:rsidRDefault="004567BB" w:rsidP="00066290">
          <w:pPr>
            <w:pStyle w:val="Footer"/>
            <w:spacing w:before="60"/>
            <w:jc w:val="center"/>
            <w:rPr>
              <w:rFonts w:cs="Arial"/>
              <w:b/>
              <w:bCs/>
            </w:rPr>
          </w:pPr>
          <w:r>
            <w:rPr>
              <w:rFonts w:cs="Arial"/>
              <w:b/>
              <w:bCs/>
            </w:rPr>
            <w:fldChar w:fldCharType="begin"/>
          </w:r>
          <w:r>
            <w:rPr>
              <w:rFonts w:cs="Arial"/>
              <w:b/>
              <w:bCs/>
            </w:rPr>
            <w:instrText xml:space="preserve"> DOCPROPERTY  00-Author  \* MERGEFORMAT </w:instrText>
          </w:r>
          <w:r>
            <w:rPr>
              <w:rFonts w:cs="Arial"/>
              <w:b/>
              <w:bCs/>
            </w:rPr>
            <w:fldChar w:fldCharType="separate"/>
          </w:r>
          <w:r>
            <w:rPr>
              <w:rFonts w:cs="Arial"/>
              <w:b/>
              <w:bCs/>
            </w:rPr>
            <w:t>Jason Ferguson</w:t>
          </w:r>
          <w:r>
            <w:rPr>
              <w:rFonts w:cs="Arial"/>
              <w:b/>
              <w:bCs/>
            </w:rPr>
            <w:fldChar w:fldCharType="end"/>
          </w:r>
          <w:r w:rsidR="00066290">
            <w:rPr>
              <w:rFonts w:cs="Arial"/>
              <w:b/>
              <w:bCs/>
            </w:rPr>
            <w:t xml:space="preserve"> / </w:t>
          </w:r>
          <w:r>
            <w:rPr>
              <w:rFonts w:cs="Arial"/>
              <w:b/>
              <w:bCs/>
            </w:rPr>
            <w:fldChar w:fldCharType="begin"/>
          </w:r>
          <w:r>
            <w:rPr>
              <w:rFonts w:cs="Arial"/>
              <w:b/>
              <w:bCs/>
            </w:rPr>
            <w:instrText xml:space="preserve"> DOCPROPERTY  01-Revisor  \* MERGEFORMAT </w:instrText>
          </w:r>
          <w:r>
            <w:rPr>
              <w:rFonts w:cs="Arial"/>
              <w:b/>
              <w:bCs/>
            </w:rPr>
            <w:fldChar w:fldCharType="separate"/>
          </w:r>
          <w:r>
            <w:rPr>
              <w:rFonts w:cs="Arial"/>
              <w:b/>
              <w:bCs/>
            </w:rPr>
            <w:t>Jason Ferguson</w:t>
          </w:r>
          <w:r>
            <w:rPr>
              <w:rFonts w:cs="Arial"/>
              <w:b/>
              <w:bCs/>
            </w:rPr>
            <w:fldChar w:fldCharType="end"/>
          </w:r>
        </w:p>
      </w:tc>
      <w:tc>
        <w:tcPr>
          <w:tcW w:w="2910" w:type="dxa"/>
          <w:gridSpan w:val="3"/>
          <w:tcBorders>
            <w:top w:val="single" w:sz="12" w:space="0" w:color="auto"/>
            <w:left w:val="single" w:sz="6" w:space="0" w:color="auto"/>
            <w:bottom w:val="single" w:sz="4" w:space="0" w:color="auto"/>
            <w:right w:val="nil"/>
          </w:tcBorders>
        </w:tcPr>
        <w:p w14:paraId="6F5E6DE9" w14:textId="77777777" w:rsidR="00066290" w:rsidRPr="008C73E3" w:rsidRDefault="00066290" w:rsidP="00066290">
          <w:pPr>
            <w:pStyle w:val="Footer"/>
            <w:spacing w:before="60"/>
            <w:rPr>
              <w:rFonts w:ascii="Arial Narrow" w:hAnsi="Arial Narrow" w:cs="Arial"/>
              <w:sz w:val="16"/>
              <w:szCs w:val="16"/>
            </w:rPr>
          </w:pPr>
          <w:r>
            <w:rPr>
              <w:rFonts w:ascii="Arial Narrow" w:hAnsi="Arial Narrow" w:cs="Arial"/>
              <w:sz w:val="16"/>
              <w:szCs w:val="16"/>
            </w:rPr>
            <w:t>MANAGER or SUPERVISOR APPROVAL</w:t>
          </w:r>
        </w:p>
        <w:p w14:paraId="14AB661A" w14:textId="01EB2756" w:rsidR="00066290" w:rsidRPr="008C73E3" w:rsidRDefault="004567BB" w:rsidP="00066290">
          <w:pPr>
            <w:pStyle w:val="Footer"/>
            <w:spacing w:before="60"/>
            <w:jc w:val="center"/>
            <w:rPr>
              <w:rFonts w:cs="Arial"/>
              <w:b/>
            </w:rPr>
          </w:pPr>
          <w:r>
            <w:rPr>
              <w:rFonts w:cs="Arial"/>
              <w:b/>
            </w:rPr>
            <w:fldChar w:fldCharType="begin"/>
          </w:r>
          <w:r>
            <w:rPr>
              <w:rFonts w:cs="Arial"/>
              <w:b/>
            </w:rPr>
            <w:instrText xml:space="preserve"> DOCPROPERTY  02-Mgr./Supr.  \* MERGEFORMAT </w:instrText>
          </w:r>
          <w:r>
            <w:rPr>
              <w:rFonts w:cs="Arial"/>
              <w:b/>
            </w:rPr>
            <w:fldChar w:fldCharType="separate"/>
          </w:r>
          <w:r>
            <w:rPr>
              <w:rFonts w:cs="Arial"/>
              <w:b/>
            </w:rPr>
            <w:t>Ashley Jones</w:t>
          </w:r>
          <w:r>
            <w:rPr>
              <w:rFonts w:cs="Arial"/>
              <w:b/>
            </w:rPr>
            <w:fldChar w:fldCharType="end"/>
          </w:r>
        </w:p>
      </w:tc>
      <w:tc>
        <w:tcPr>
          <w:tcW w:w="2910" w:type="dxa"/>
          <w:gridSpan w:val="2"/>
          <w:tcBorders>
            <w:top w:val="single" w:sz="12" w:space="0" w:color="auto"/>
            <w:left w:val="single" w:sz="4" w:space="0" w:color="auto"/>
            <w:bottom w:val="single" w:sz="4" w:space="0" w:color="auto"/>
            <w:right w:val="single" w:sz="4" w:space="0" w:color="auto"/>
          </w:tcBorders>
        </w:tcPr>
        <w:p w14:paraId="0E78C100" w14:textId="77777777" w:rsidR="00066290" w:rsidRPr="008C73E3" w:rsidRDefault="00066290" w:rsidP="00066290">
          <w:pPr>
            <w:pStyle w:val="Footer"/>
            <w:spacing w:before="60"/>
            <w:rPr>
              <w:rFonts w:ascii="Arial Narrow" w:hAnsi="Arial Narrow" w:cs="Arial"/>
              <w:sz w:val="16"/>
              <w:szCs w:val="16"/>
            </w:rPr>
          </w:pPr>
          <w:r>
            <w:rPr>
              <w:rFonts w:ascii="Arial Narrow" w:hAnsi="Arial Narrow" w:cs="Arial"/>
              <w:sz w:val="16"/>
              <w:szCs w:val="16"/>
            </w:rPr>
            <w:t>QA MANAGER</w:t>
          </w:r>
          <w:r w:rsidRPr="008C73E3">
            <w:rPr>
              <w:rFonts w:ascii="Arial Narrow" w:hAnsi="Arial Narrow" w:cs="Arial"/>
              <w:sz w:val="16"/>
              <w:szCs w:val="16"/>
            </w:rPr>
            <w:t xml:space="preserve"> APPROVAL</w:t>
          </w:r>
        </w:p>
        <w:p w14:paraId="4990D067" w14:textId="64823049" w:rsidR="00066290" w:rsidRPr="008C73E3" w:rsidRDefault="004567BB" w:rsidP="00066290">
          <w:pPr>
            <w:pStyle w:val="Footer"/>
            <w:spacing w:before="60"/>
            <w:jc w:val="center"/>
            <w:rPr>
              <w:rFonts w:cs="Arial"/>
              <w:b/>
            </w:rPr>
          </w:pPr>
          <w:r>
            <w:rPr>
              <w:rFonts w:cs="Arial"/>
              <w:b/>
            </w:rPr>
            <w:fldChar w:fldCharType="begin"/>
          </w:r>
          <w:r>
            <w:rPr>
              <w:rFonts w:cs="Arial"/>
              <w:b/>
            </w:rPr>
            <w:instrText xml:space="preserve"> DOCPROPERTY  "03-QA Mgr."  \* MERGEFORMAT </w:instrText>
          </w:r>
          <w:r>
            <w:rPr>
              <w:rFonts w:cs="Arial"/>
              <w:b/>
            </w:rPr>
            <w:fldChar w:fldCharType="separate"/>
          </w:r>
          <w:r>
            <w:rPr>
              <w:rFonts w:cs="Arial"/>
              <w:b/>
            </w:rPr>
            <w:t>Kenneth Church</w:t>
          </w:r>
          <w:r>
            <w:rPr>
              <w:rFonts w:cs="Arial"/>
              <w:b/>
            </w:rPr>
            <w:fldChar w:fldCharType="end"/>
          </w:r>
        </w:p>
      </w:tc>
      <w:tc>
        <w:tcPr>
          <w:tcW w:w="2463" w:type="dxa"/>
          <w:gridSpan w:val="2"/>
          <w:tcBorders>
            <w:top w:val="single" w:sz="12" w:space="0" w:color="auto"/>
            <w:left w:val="nil"/>
            <w:bottom w:val="single" w:sz="4" w:space="0" w:color="auto"/>
            <w:right w:val="single" w:sz="12" w:space="0" w:color="auto"/>
          </w:tcBorders>
        </w:tcPr>
        <w:p w14:paraId="5397CA1F" w14:textId="77777777" w:rsidR="00066290" w:rsidRPr="008C73E3" w:rsidRDefault="00066290" w:rsidP="00066290">
          <w:pPr>
            <w:pStyle w:val="Footer"/>
            <w:spacing w:before="60"/>
            <w:rPr>
              <w:rFonts w:ascii="Arial Narrow" w:hAnsi="Arial Narrow" w:cs="Arial"/>
              <w:sz w:val="16"/>
              <w:szCs w:val="16"/>
            </w:rPr>
          </w:pPr>
          <w:r w:rsidRPr="008C73E3">
            <w:rPr>
              <w:rFonts w:ascii="Arial Narrow" w:hAnsi="Arial Narrow" w:cs="Arial"/>
              <w:sz w:val="16"/>
              <w:szCs w:val="16"/>
            </w:rPr>
            <w:t>DOCUMENT RELEASE DATE</w:t>
          </w:r>
        </w:p>
        <w:p w14:paraId="0131E4C7" w14:textId="16AF5E8E" w:rsidR="00066290" w:rsidRPr="008C73E3" w:rsidRDefault="00CE5338" w:rsidP="00066290">
          <w:pPr>
            <w:pStyle w:val="Footer"/>
            <w:spacing w:before="60"/>
            <w:jc w:val="center"/>
            <w:rPr>
              <w:rFonts w:cs="Arial"/>
              <w:b/>
            </w:rPr>
          </w:pPr>
          <w:r>
            <w:rPr>
              <w:rFonts w:cs="Arial"/>
              <w:b/>
            </w:rPr>
            <w:fldChar w:fldCharType="begin"/>
          </w:r>
          <w:r>
            <w:rPr>
              <w:rFonts w:cs="Arial"/>
              <w:b/>
            </w:rPr>
            <w:instrText xml:space="preserve"> DOCPROPERTY  "04--Doc. Rel. Date"  \* MERGEFORMAT </w:instrText>
          </w:r>
          <w:r>
            <w:rPr>
              <w:rFonts w:cs="Arial"/>
              <w:b/>
            </w:rPr>
            <w:fldChar w:fldCharType="separate"/>
          </w:r>
          <w:r>
            <w:rPr>
              <w:rFonts w:cs="Arial"/>
              <w:b/>
            </w:rPr>
            <w:t>03/22/2024</w:t>
          </w:r>
          <w:r>
            <w:rPr>
              <w:rFonts w:cs="Arial"/>
              <w:b/>
            </w:rPr>
            <w:fldChar w:fldCharType="end"/>
          </w:r>
        </w:p>
      </w:tc>
    </w:tr>
    <w:tr w:rsidR="00066290" w:rsidRPr="008C73E3" w14:paraId="18765BF6" w14:textId="77777777" w:rsidTr="00720916">
      <w:trPr>
        <w:cantSplit/>
        <w:trHeight w:val="263"/>
      </w:trPr>
      <w:tc>
        <w:tcPr>
          <w:tcW w:w="3542" w:type="dxa"/>
          <w:gridSpan w:val="2"/>
          <w:vMerge w:val="restart"/>
          <w:tcBorders>
            <w:top w:val="single" w:sz="4" w:space="0" w:color="auto"/>
            <w:left w:val="single" w:sz="12" w:space="0" w:color="auto"/>
            <w:bottom w:val="single" w:sz="4" w:space="0" w:color="auto"/>
            <w:right w:val="single" w:sz="4" w:space="0" w:color="auto"/>
          </w:tcBorders>
        </w:tcPr>
        <w:p w14:paraId="290EC0EF" w14:textId="77777777" w:rsidR="00066290" w:rsidRPr="008C73E3" w:rsidRDefault="00066290" w:rsidP="00066290">
          <w:pPr>
            <w:pStyle w:val="Footer"/>
            <w:spacing w:before="60"/>
            <w:rPr>
              <w:rFonts w:ascii="Arial Narrow" w:hAnsi="Arial Narrow" w:cs="Arial"/>
              <w:sz w:val="16"/>
              <w:szCs w:val="16"/>
            </w:rPr>
          </w:pPr>
          <w:r>
            <w:rPr>
              <w:rFonts w:ascii="Arial Narrow" w:hAnsi="Arial Narrow" w:cs="Arial"/>
              <w:sz w:val="16"/>
              <w:szCs w:val="16"/>
            </w:rPr>
            <w:t>PROCEDURE</w:t>
          </w:r>
          <w:r w:rsidRPr="008C73E3">
            <w:rPr>
              <w:rFonts w:ascii="Arial Narrow" w:hAnsi="Arial Narrow" w:cs="Arial"/>
              <w:sz w:val="16"/>
              <w:szCs w:val="16"/>
            </w:rPr>
            <w:t xml:space="preserve"> NO.</w:t>
          </w:r>
        </w:p>
        <w:p w14:paraId="360C5695" w14:textId="20E628E4" w:rsidR="00066290" w:rsidRPr="008C73E3" w:rsidRDefault="004567BB" w:rsidP="00066290">
          <w:pPr>
            <w:pStyle w:val="Footer"/>
            <w:spacing w:before="60"/>
            <w:jc w:val="center"/>
            <w:rPr>
              <w:rFonts w:cs="Arial"/>
              <w:b/>
            </w:rPr>
          </w:pPr>
          <w:r>
            <w:rPr>
              <w:rFonts w:cs="Arial"/>
              <w:b/>
            </w:rPr>
            <w:fldChar w:fldCharType="begin"/>
          </w:r>
          <w:r>
            <w:rPr>
              <w:rFonts w:cs="Arial"/>
              <w:b/>
            </w:rPr>
            <w:instrText xml:space="preserve"> DOCPROPERTY  "05-Procedure #"  \* MERGEFORMAT </w:instrText>
          </w:r>
          <w:r>
            <w:rPr>
              <w:rFonts w:cs="Arial"/>
              <w:b/>
            </w:rPr>
            <w:fldChar w:fldCharType="separate"/>
          </w:r>
          <w:r>
            <w:rPr>
              <w:rFonts w:cs="Arial"/>
              <w:b/>
            </w:rPr>
            <w:t>CP-NBS-14.002</w:t>
          </w:r>
          <w:r>
            <w:rPr>
              <w:rFonts w:cs="Arial"/>
              <w:b/>
            </w:rPr>
            <w:fldChar w:fldCharType="end"/>
          </w:r>
        </w:p>
      </w:tc>
      <w:tc>
        <w:tcPr>
          <w:tcW w:w="810" w:type="dxa"/>
          <w:vMerge w:val="restart"/>
          <w:tcBorders>
            <w:top w:val="single" w:sz="4" w:space="0" w:color="auto"/>
            <w:left w:val="single" w:sz="4" w:space="0" w:color="auto"/>
            <w:bottom w:val="single" w:sz="4" w:space="0" w:color="auto"/>
            <w:right w:val="single" w:sz="4" w:space="0" w:color="auto"/>
          </w:tcBorders>
        </w:tcPr>
        <w:p w14:paraId="12627018" w14:textId="77777777" w:rsidR="00066290" w:rsidRPr="008C73E3" w:rsidRDefault="00066290" w:rsidP="00066290">
          <w:pPr>
            <w:pStyle w:val="Footer"/>
            <w:spacing w:before="60"/>
            <w:rPr>
              <w:rFonts w:cs="Arial"/>
              <w:sz w:val="16"/>
            </w:rPr>
          </w:pPr>
          <w:r w:rsidRPr="008C73E3">
            <w:rPr>
              <w:rFonts w:ascii="Arial Narrow" w:hAnsi="Arial Narrow" w:cs="Arial"/>
              <w:sz w:val="16"/>
              <w:szCs w:val="16"/>
            </w:rPr>
            <w:t>REV.</w:t>
          </w:r>
        </w:p>
        <w:p w14:paraId="6572F3A7" w14:textId="0A50253A" w:rsidR="00066290" w:rsidRPr="008C73E3" w:rsidRDefault="004567BB" w:rsidP="00066290">
          <w:pPr>
            <w:pStyle w:val="Footer"/>
            <w:spacing w:before="60"/>
            <w:jc w:val="center"/>
            <w:rPr>
              <w:rFonts w:cs="Arial"/>
              <w:b/>
            </w:rPr>
          </w:pPr>
          <w:r>
            <w:rPr>
              <w:rFonts w:cs="Arial"/>
              <w:b/>
            </w:rPr>
            <w:fldChar w:fldCharType="begin"/>
          </w:r>
          <w:r>
            <w:rPr>
              <w:rFonts w:cs="Arial"/>
              <w:b/>
            </w:rPr>
            <w:instrText xml:space="preserve"> DOCPROPERTY  06-Revision  \* MERGEFORMAT </w:instrText>
          </w:r>
          <w:r>
            <w:rPr>
              <w:rFonts w:cs="Arial"/>
              <w:b/>
            </w:rPr>
            <w:fldChar w:fldCharType="separate"/>
          </w:r>
          <w:r>
            <w:rPr>
              <w:rFonts w:cs="Arial"/>
              <w:b/>
            </w:rPr>
            <w:t>A</w:t>
          </w:r>
          <w:r>
            <w:rPr>
              <w:rFonts w:cs="Arial"/>
              <w:b/>
            </w:rPr>
            <w:fldChar w:fldCharType="end"/>
          </w:r>
        </w:p>
      </w:tc>
      <w:tc>
        <w:tcPr>
          <w:tcW w:w="3961" w:type="dxa"/>
          <w:gridSpan w:val="2"/>
          <w:vMerge w:val="restart"/>
          <w:tcBorders>
            <w:top w:val="single" w:sz="4" w:space="0" w:color="auto"/>
            <w:left w:val="single" w:sz="4" w:space="0" w:color="auto"/>
            <w:bottom w:val="nil"/>
            <w:right w:val="single" w:sz="4" w:space="0" w:color="auto"/>
          </w:tcBorders>
        </w:tcPr>
        <w:p w14:paraId="05FA2A95" w14:textId="77777777" w:rsidR="00066290" w:rsidRPr="008C73E3" w:rsidRDefault="00066290" w:rsidP="00066290">
          <w:pPr>
            <w:pStyle w:val="Footer"/>
            <w:spacing w:before="60"/>
            <w:rPr>
              <w:rFonts w:ascii="Arial Narrow" w:hAnsi="Arial Narrow" w:cs="Arial"/>
              <w:sz w:val="16"/>
              <w:szCs w:val="16"/>
            </w:rPr>
          </w:pPr>
          <w:r w:rsidRPr="008C73E3">
            <w:rPr>
              <w:rFonts w:ascii="Arial Narrow" w:hAnsi="Arial Narrow" w:cs="Arial"/>
              <w:sz w:val="16"/>
              <w:szCs w:val="16"/>
            </w:rPr>
            <w:t>ECN #</w:t>
          </w:r>
        </w:p>
        <w:p w14:paraId="69405298" w14:textId="63EE0909" w:rsidR="00066290" w:rsidRPr="008C73E3" w:rsidRDefault="004567BB" w:rsidP="00066290">
          <w:pPr>
            <w:pStyle w:val="Footer"/>
            <w:spacing w:before="60"/>
            <w:jc w:val="center"/>
            <w:rPr>
              <w:rFonts w:cs="Arial"/>
              <w:b/>
            </w:rPr>
          </w:pPr>
          <w:r>
            <w:rPr>
              <w:rFonts w:cs="Arial"/>
              <w:b/>
            </w:rPr>
            <w:fldChar w:fldCharType="begin"/>
          </w:r>
          <w:r>
            <w:rPr>
              <w:rFonts w:cs="Arial"/>
              <w:b/>
            </w:rPr>
            <w:instrText xml:space="preserve"> DOCPROPERTY  "07-ECN #"  \* MERGEFORMAT </w:instrText>
          </w:r>
          <w:r>
            <w:rPr>
              <w:rFonts w:cs="Arial"/>
              <w:b/>
            </w:rPr>
            <w:fldChar w:fldCharType="separate"/>
          </w:r>
          <w:r>
            <w:rPr>
              <w:rFonts w:cs="Arial"/>
              <w:b/>
            </w:rPr>
            <w:t>20231017120613KL</w:t>
          </w:r>
          <w:r>
            <w:rPr>
              <w:rFonts w:cs="Arial"/>
              <w:b/>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63AD8176" w14:textId="77777777" w:rsidR="00066290" w:rsidRPr="008C73E3" w:rsidRDefault="00066290" w:rsidP="00066290">
          <w:pPr>
            <w:pStyle w:val="Footer"/>
            <w:spacing w:before="60"/>
            <w:rPr>
              <w:rFonts w:ascii="Arial Narrow" w:hAnsi="Arial Narrow" w:cs="Arial"/>
              <w:sz w:val="16"/>
              <w:szCs w:val="16"/>
            </w:rPr>
          </w:pPr>
          <w:r w:rsidRPr="008C73E3">
            <w:rPr>
              <w:rFonts w:ascii="Arial Narrow" w:hAnsi="Arial Narrow" w:cs="Arial"/>
              <w:sz w:val="16"/>
              <w:szCs w:val="16"/>
            </w:rPr>
            <w:t>PAGE NO.</w:t>
          </w:r>
        </w:p>
      </w:tc>
      <w:tc>
        <w:tcPr>
          <w:tcW w:w="1440" w:type="dxa"/>
          <w:tcBorders>
            <w:top w:val="single" w:sz="4" w:space="0" w:color="auto"/>
            <w:left w:val="single" w:sz="4" w:space="0" w:color="auto"/>
            <w:bottom w:val="single" w:sz="4" w:space="0" w:color="auto"/>
            <w:right w:val="single" w:sz="12" w:space="0" w:color="auto"/>
          </w:tcBorders>
          <w:vAlign w:val="center"/>
        </w:tcPr>
        <w:p w14:paraId="124C6975" w14:textId="77777777" w:rsidR="00066290" w:rsidRPr="008C73E3" w:rsidRDefault="00066290" w:rsidP="00066290">
          <w:pPr>
            <w:pStyle w:val="Footer"/>
            <w:spacing w:before="60"/>
            <w:jc w:val="center"/>
            <w:rPr>
              <w:rFonts w:cs="Arial"/>
            </w:rPr>
          </w:pPr>
          <w:r w:rsidRPr="008C73E3">
            <w:rPr>
              <w:rFonts w:cs="Arial"/>
              <w:snapToGrid w:val="0"/>
            </w:rPr>
            <w:fldChar w:fldCharType="begin"/>
          </w:r>
          <w:r w:rsidRPr="008C73E3">
            <w:rPr>
              <w:rFonts w:cs="Arial"/>
              <w:snapToGrid w:val="0"/>
            </w:rPr>
            <w:instrText xml:space="preserve"> PAGE </w:instrText>
          </w:r>
          <w:r w:rsidRPr="008C73E3">
            <w:rPr>
              <w:rFonts w:cs="Arial"/>
              <w:snapToGrid w:val="0"/>
            </w:rPr>
            <w:fldChar w:fldCharType="separate"/>
          </w:r>
          <w:r>
            <w:rPr>
              <w:rFonts w:cs="Arial"/>
              <w:snapToGrid w:val="0"/>
            </w:rPr>
            <w:t>1</w:t>
          </w:r>
          <w:r w:rsidRPr="008C73E3">
            <w:rPr>
              <w:rFonts w:cs="Arial"/>
              <w:snapToGrid w:val="0"/>
            </w:rPr>
            <w:fldChar w:fldCharType="end"/>
          </w:r>
        </w:p>
      </w:tc>
    </w:tr>
    <w:tr w:rsidR="00066290" w:rsidRPr="008C73E3" w14:paraId="6E272668" w14:textId="77777777" w:rsidTr="00720916">
      <w:trPr>
        <w:cantSplit/>
        <w:trHeight w:val="262"/>
      </w:trPr>
      <w:tc>
        <w:tcPr>
          <w:tcW w:w="3542" w:type="dxa"/>
          <w:gridSpan w:val="2"/>
          <w:vMerge/>
          <w:tcBorders>
            <w:top w:val="single" w:sz="4" w:space="0" w:color="auto"/>
            <w:left w:val="single" w:sz="12" w:space="0" w:color="auto"/>
            <w:bottom w:val="single" w:sz="12" w:space="0" w:color="auto"/>
            <w:right w:val="single" w:sz="4" w:space="0" w:color="auto"/>
          </w:tcBorders>
        </w:tcPr>
        <w:p w14:paraId="0FB2B786" w14:textId="77777777" w:rsidR="00066290" w:rsidRPr="008C73E3" w:rsidRDefault="00066290" w:rsidP="00066290">
          <w:pPr>
            <w:pStyle w:val="Footer"/>
            <w:rPr>
              <w:rFonts w:cs="Arial"/>
              <w:sz w:val="16"/>
            </w:rPr>
          </w:pPr>
        </w:p>
      </w:tc>
      <w:tc>
        <w:tcPr>
          <w:tcW w:w="810" w:type="dxa"/>
          <w:vMerge/>
          <w:tcBorders>
            <w:top w:val="single" w:sz="4" w:space="0" w:color="auto"/>
            <w:left w:val="single" w:sz="4" w:space="0" w:color="auto"/>
            <w:bottom w:val="single" w:sz="12" w:space="0" w:color="auto"/>
            <w:right w:val="single" w:sz="4" w:space="0" w:color="auto"/>
          </w:tcBorders>
        </w:tcPr>
        <w:p w14:paraId="56374A46" w14:textId="77777777" w:rsidR="00066290" w:rsidRPr="008C73E3" w:rsidRDefault="00066290" w:rsidP="00066290">
          <w:pPr>
            <w:pStyle w:val="Footer"/>
            <w:rPr>
              <w:rFonts w:cs="Arial"/>
              <w:sz w:val="16"/>
            </w:rPr>
          </w:pPr>
        </w:p>
      </w:tc>
      <w:tc>
        <w:tcPr>
          <w:tcW w:w="3961" w:type="dxa"/>
          <w:gridSpan w:val="2"/>
          <w:vMerge/>
          <w:tcBorders>
            <w:top w:val="nil"/>
            <w:left w:val="single" w:sz="4" w:space="0" w:color="auto"/>
            <w:bottom w:val="single" w:sz="12" w:space="0" w:color="auto"/>
            <w:right w:val="single" w:sz="4" w:space="0" w:color="auto"/>
          </w:tcBorders>
        </w:tcPr>
        <w:p w14:paraId="22293AEB" w14:textId="77777777" w:rsidR="00066290" w:rsidRPr="008C73E3" w:rsidRDefault="00066290" w:rsidP="00066290">
          <w:pPr>
            <w:pStyle w:val="Footer"/>
            <w:rPr>
              <w:rFonts w:cs="Arial"/>
              <w:sz w:val="16"/>
            </w:rPr>
          </w:pPr>
        </w:p>
      </w:tc>
      <w:tc>
        <w:tcPr>
          <w:tcW w:w="1440" w:type="dxa"/>
          <w:gridSpan w:val="2"/>
          <w:tcBorders>
            <w:top w:val="single" w:sz="4" w:space="0" w:color="auto"/>
            <w:left w:val="single" w:sz="4" w:space="0" w:color="auto"/>
            <w:bottom w:val="single" w:sz="12" w:space="0" w:color="auto"/>
            <w:right w:val="single" w:sz="4" w:space="0" w:color="auto"/>
          </w:tcBorders>
        </w:tcPr>
        <w:p w14:paraId="22C61AE5" w14:textId="77777777" w:rsidR="00066290" w:rsidRPr="008C73E3" w:rsidRDefault="00066290" w:rsidP="00066290">
          <w:pPr>
            <w:pStyle w:val="Footer"/>
            <w:spacing w:before="60"/>
            <w:rPr>
              <w:rFonts w:ascii="Arial Narrow" w:hAnsi="Arial Narrow" w:cs="Arial"/>
              <w:sz w:val="16"/>
              <w:szCs w:val="16"/>
            </w:rPr>
          </w:pPr>
          <w:r w:rsidRPr="008C73E3">
            <w:rPr>
              <w:rFonts w:ascii="Arial Narrow" w:hAnsi="Arial Narrow" w:cs="Arial"/>
              <w:sz w:val="16"/>
              <w:szCs w:val="16"/>
            </w:rPr>
            <w:t>NO. OF PAGES</w:t>
          </w:r>
        </w:p>
      </w:tc>
      <w:tc>
        <w:tcPr>
          <w:tcW w:w="1440" w:type="dxa"/>
          <w:tcBorders>
            <w:top w:val="single" w:sz="4" w:space="0" w:color="auto"/>
            <w:left w:val="single" w:sz="4" w:space="0" w:color="auto"/>
            <w:bottom w:val="single" w:sz="12" w:space="0" w:color="auto"/>
            <w:right w:val="single" w:sz="12" w:space="0" w:color="auto"/>
          </w:tcBorders>
          <w:vAlign w:val="center"/>
        </w:tcPr>
        <w:p w14:paraId="25028EA5" w14:textId="463EA863" w:rsidR="00066290" w:rsidRPr="008C73E3" w:rsidRDefault="00DE19AB" w:rsidP="00066290">
          <w:pPr>
            <w:pStyle w:val="Footer"/>
            <w:jc w:val="center"/>
            <w:rPr>
              <w:rFonts w:cs="Arial"/>
            </w:rPr>
          </w:pPr>
          <w:r>
            <w:rPr>
              <w:rFonts w:cs="Arial"/>
            </w:rPr>
            <w:t>40</w:t>
          </w:r>
        </w:p>
      </w:tc>
    </w:tr>
    <w:tr w:rsidR="00066290" w:rsidRPr="008C73E3" w14:paraId="51061354" w14:textId="77777777" w:rsidTr="00720916">
      <w:trPr>
        <w:cantSplit/>
      </w:trPr>
      <w:tc>
        <w:tcPr>
          <w:tcW w:w="11193" w:type="dxa"/>
          <w:gridSpan w:val="8"/>
          <w:tcBorders>
            <w:top w:val="nil"/>
            <w:left w:val="nil"/>
            <w:bottom w:val="nil"/>
            <w:right w:val="nil"/>
          </w:tcBorders>
        </w:tcPr>
        <w:p w14:paraId="6EF95525" w14:textId="77777777" w:rsidR="00066290" w:rsidRPr="008C73E3" w:rsidRDefault="00066290" w:rsidP="00066290">
          <w:pPr>
            <w:pStyle w:val="Footer"/>
            <w:jc w:val="center"/>
            <w:rPr>
              <w:rFonts w:ascii="Arial Narrow" w:hAnsi="Arial Narrow" w:cs="Arial"/>
              <w:sz w:val="16"/>
            </w:rPr>
          </w:pPr>
          <w:r w:rsidRPr="008C73E3">
            <w:rPr>
              <w:rFonts w:ascii="Arial Narrow" w:hAnsi="Arial Narrow" w:cs="Arial"/>
              <w:sz w:val="16"/>
            </w:rPr>
            <w:t>The information contained on this document is considered proprietary to our company Greene, Tweed in that these items, components and processes were developed at private expense.</w:t>
          </w:r>
        </w:p>
        <w:p w14:paraId="6E4465E6" w14:textId="77777777" w:rsidR="00066290" w:rsidRPr="008C73E3" w:rsidRDefault="00066290" w:rsidP="00066290">
          <w:pPr>
            <w:pStyle w:val="Footer"/>
            <w:jc w:val="center"/>
            <w:rPr>
              <w:rFonts w:ascii="Arial Narrow" w:hAnsi="Arial Narrow" w:cs="Arial"/>
              <w:sz w:val="16"/>
            </w:rPr>
          </w:pPr>
          <w:r w:rsidRPr="008C73E3">
            <w:rPr>
              <w:rFonts w:ascii="Arial Narrow" w:hAnsi="Arial Narrow" w:cs="Arial"/>
              <w:sz w:val="16"/>
            </w:rPr>
            <w:t>This information shall not be released, disclosed, or duplicated for procurement or manufacturing. Reproduction hereof, in whole or in part, shall be marked with this legend.</w:t>
          </w:r>
        </w:p>
      </w:tc>
    </w:tr>
  </w:tbl>
  <w:p w14:paraId="71205135" w14:textId="77777777" w:rsidR="00066290" w:rsidRPr="008C73E3" w:rsidRDefault="00066290" w:rsidP="00066290">
    <w:pPr>
      <w:pStyle w:val="Footer"/>
      <w:rPr>
        <w:rFonts w:cs="Arial"/>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6C9B2" w14:textId="77777777" w:rsidR="00066290" w:rsidRDefault="00066290" w:rsidP="00066290">
      <w:pPr>
        <w:spacing w:line="240" w:lineRule="auto"/>
      </w:pPr>
      <w:r>
        <w:separator/>
      </w:r>
    </w:p>
  </w:footnote>
  <w:footnote w:type="continuationSeparator" w:id="0">
    <w:p w14:paraId="01795975" w14:textId="77777777" w:rsidR="00066290" w:rsidRDefault="00066290" w:rsidP="000662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75766" w14:textId="27217751" w:rsidR="00066290" w:rsidRDefault="00015DD8">
    <w:pPr>
      <w:pStyle w:val="Header"/>
    </w:pPr>
    <w:r>
      <w:rPr>
        <w:noProof/>
      </w:rPr>
      <w:drawing>
        <wp:anchor distT="0" distB="0" distL="114300" distR="114300" simplePos="0" relativeHeight="251658240" behindDoc="0" locked="0" layoutInCell="1" allowOverlap="1" wp14:anchorId="49EB14C0" wp14:editId="414074CF">
          <wp:simplePos x="0" y="0"/>
          <wp:positionH relativeFrom="column">
            <wp:posOffset>0</wp:posOffset>
          </wp:positionH>
          <wp:positionV relativeFrom="paragraph">
            <wp:posOffset>-440422</wp:posOffset>
          </wp:positionV>
          <wp:extent cx="6858000" cy="589280"/>
          <wp:effectExtent l="0" t="0" r="0" b="1270"/>
          <wp:wrapNone/>
          <wp:docPr id="1730531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531912" name=""/>
                  <pic:cNvPicPr/>
                </pic:nvPicPr>
                <pic:blipFill>
                  <a:blip r:embed="rId1">
                    <a:extLst>
                      <a:ext uri="{28A0092B-C50C-407E-A947-70E740481C1C}">
                        <a14:useLocalDpi xmlns:a14="http://schemas.microsoft.com/office/drawing/2010/main" val="0"/>
                      </a:ext>
                    </a:extLst>
                  </a:blip>
                  <a:stretch>
                    <a:fillRect/>
                  </a:stretch>
                </pic:blipFill>
                <pic:spPr>
                  <a:xfrm>
                    <a:off x="0" y="0"/>
                    <a:ext cx="6858000" cy="5892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72676"/>
    <w:multiLevelType w:val="hybridMultilevel"/>
    <w:tmpl w:val="AF223BC8"/>
    <w:lvl w:ilvl="0" w:tplc="D5D4B3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32899"/>
    <w:multiLevelType w:val="hybridMultilevel"/>
    <w:tmpl w:val="862A74B4"/>
    <w:lvl w:ilvl="0" w:tplc="9C3E8FBA">
      <w:start w:val="1"/>
      <w:numFmt w:val="decimal"/>
      <w:lvlText w:val="(%1)"/>
      <w:lvlJc w:val="left"/>
      <w:pPr>
        <w:ind w:left="103" w:hanging="272"/>
      </w:pPr>
      <w:rPr>
        <w:rFonts w:ascii="Calibri" w:eastAsia="Calibri" w:hAnsi="Calibri" w:cs="Calibri" w:hint="default"/>
        <w:w w:val="100"/>
        <w:sz w:val="22"/>
        <w:szCs w:val="22"/>
      </w:rPr>
    </w:lvl>
    <w:lvl w:ilvl="1" w:tplc="45485DE0">
      <w:numFmt w:val="bullet"/>
      <w:lvlText w:val="•"/>
      <w:lvlJc w:val="left"/>
      <w:pPr>
        <w:ind w:left="411" w:hanging="272"/>
      </w:pPr>
      <w:rPr>
        <w:rFonts w:hint="default"/>
      </w:rPr>
    </w:lvl>
    <w:lvl w:ilvl="2" w:tplc="EFCC0544">
      <w:numFmt w:val="bullet"/>
      <w:lvlText w:val="•"/>
      <w:lvlJc w:val="left"/>
      <w:pPr>
        <w:ind w:left="722" w:hanging="272"/>
      </w:pPr>
      <w:rPr>
        <w:rFonts w:hint="default"/>
      </w:rPr>
    </w:lvl>
    <w:lvl w:ilvl="3" w:tplc="700E2294">
      <w:numFmt w:val="bullet"/>
      <w:lvlText w:val="•"/>
      <w:lvlJc w:val="left"/>
      <w:pPr>
        <w:ind w:left="1034" w:hanging="272"/>
      </w:pPr>
      <w:rPr>
        <w:rFonts w:hint="default"/>
      </w:rPr>
    </w:lvl>
    <w:lvl w:ilvl="4" w:tplc="EFC28A8C">
      <w:numFmt w:val="bullet"/>
      <w:lvlText w:val="•"/>
      <w:lvlJc w:val="left"/>
      <w:pPr>
        <w:ind w:left="1345" w:hanging="272"/>
      </w:pPr>
      <w:rPr>
        <w:rFonts w:hint="default"/>
      </w:rPr>
    </w:lvl>
    <w:lvl w:ilvl="5" w:tplc="B59219EA">
      <w:numFmt w:val="bullet"/>
      <w:lvlText w:val="•"/>
      <w:lvlJc w:val="left"/>
      <w:pPr>
        <w:ind w:left="1656" w:hanging="272"/>
      </w:pPr>
      <w:rPr>
        <w:rFonts w:hint="default"/>
      </w:rPr>
    </w:lvl>
    <w:lvl w:ilvl="6" w:tplc="8BB2AF74">
      <w:numFmt w:val="bullet"/>
      <w:lvlText w:val="•"/>
      <w:lvlJc w:val="left"/>
      <w:pPr>
        <w:ind w:left="1968" w:hanging="272"/>
      </w:pPr>
      <w:rPr>
        <w:rFonts w:hint="default"/>
      </w:rPr>
    </w:lvl>
    <w:lvl w:ilvl="7" w:tplc="A44691C4">
      <w:numFmt w:val="bullet"/>
      <w:lvlText w:val="•"/>
      <w:lvlJc w:val="left"/>
      <w:pPr>
        <w:ind w:left="2279" w:hanging="272"/>
      </w:pPr>
      <w:rPr>
        <w:rFonts w:hint="default"/>
      </w:rPr>
    </w:lvl>
    <w:lvl w:ilvl="8" w:tplc="A7D4F664">
      <w:numFmt w:val="bullet"/>
      <w:lvlText w:val="•"/>
      <w:lvlJc w:val="left"/>
      <w:pPr>
        <w:ind w:left="2590" w:hanging="272"/>
      </w:pPr>
      <w:rPr>
        <w:rFonts w:hint="default"/>
      </w:rPr>
    </w:lvl>
  </w:abstractNum>
  <w:abstractNum w:abstractNumId="2" w15:restartNumberingAfterBreak="0">
    <w:nsid w:val="06B61714"/>
    <w:multiLevelType w:val="multilevel"/>
    <w:tmpl w:val="20C8021A"/>
    <w:lvl w:ilvl="0">
      <w:start w:val="1"/>
      <w:numFmt w:val="decimal"/>
      <w:lvlText w:val="%1.0"/>
      <w:lvlJc w:val="left"/>
      <w:pPr>
        <w:ind w:left="720" w:hanging="465"/>
      </w:pPr>
      <w:rPr>
        <w:rFonts w:hint="default"/>
      </w:rPr>
    </w:lvl>
    <w:lvl w:ilvl="1">
      <w:start w:val="1"/>
      <w:numFmt w:val="bullet"/>
      <w:lvlText w:val=""/>
      <w:lvlJc w:val="left"/>
      <w:pPr>
        <w:ind w:left="1335" w:hanging="360"/>
      </w:pPr>
      <w:rPr>
        <w:rFonts w:ascii="Symbol" w:hAnsi="Symbol" w:hint="default"/>
      </w:rPr>
    </w:lvl>
    <w:lvl w:ilvl="2">
      <w:start w:val="1"/>
      <w:numFmt w:val="decimal"/>
      <w:lvlText w:val="%1.%2.%3"/>
      <w:lvlJc w:val="left"/>
      <w:pPr>
        <w:ind w:left="2415" w:hanging="720"/>
      </w:pPr>
      <w:rPr>
        <w:rFonts w:ascii="Arial" w:hAnsi="Arial" w:cs="Arial" w:hint="default"/>
      </w:rPr>
    </w:lvl>
    <w:lvl w:ilvl="3">
      <w:start w:val="1"/>
      <w:numFmt w:val="bullet"/>
      <w:lvlText w:val=""/>
      <w:lvlJc w:val="left"/>
      <w:pPr>
        <w:ind w:left="2808" w:hanging="360"/>
      </w:pPr>
      <w:rPr>
        <w:rFonts w:ascii="Symbol" w:hAnsi="Symbol" w:hint="default"/>
      </w:rPr>
    </w:lvl>
    <w:lvl w:ilvl="4">
      <w:start w:val="1"/>
      <w:numFmt w:val="decimal"/>
      <w:lvlText w:val="%1.%2.%3.%4.%5"/>
      <w:lvlJc w:val="left"/>
      <w:pPr>
        <w:ind w:left="4215" w:hanging="1080"/>
      </w:pPr>
      <w:rPr>
        <w:rFonts w:hint="default"/>
      </w:rPr>
    </w:lvl>
    <w:lvl w:ilvl="5">
      <w:start w:val="1"/>
      <w:numFmt w:val="decimal"/>
      <w:lvlText w:val="%1.%2.%3.%4.%5.%6"/>
      <w:lvlJc w:val="left"/>
      <w:pPr>
        <w:ind w:left="4935" w:hanging="1080"/>
      </w:pPr>
      <w:rPr>
        <w:rFonts w:hint="default"/>
      </w:rPr>
    </w:lvl>
    <w:lvl w:ilvl="6">
      <w:start w:val="1"/>
      <w:numFmt w:val="decimal"/>
      <w:lvlText w:val="%1.%2.%3.%4.%5.%6.%7"/>
      <w:lvlJc w:val="left"/>
      <w:pPr>
        <w:ind w:left="9630" w:hanging="1440"/>
      </w:pPr>
      <w:rPr>
        <w:rFonts w:hint="default"/>
      </w:rPr>
    </w:lvl>
    <w:lvl w:ilvl="7">
      <w:start w:val="1"/>
      <w:numFmt w:val="decimal"/>
      <w:lvlText w:val="%1.%2.%3.%4.%5.%6.%7.%8"/>
      <w:lvlJc w:val="left"/>
      <w:pPr>
        <w:ind w:left="6735" w:hanging="1440"/>
      </w:pPr>
      <w:rPr>
        <w:rFonts w:hint="default"/>
      </w:rPr>
    </w:lvl>
    <w:lvl w:ilvl="8">
      <w:start w:val="1"/>
      <w:numFmt w:val="decimal"/>
      <w:lvlText w:val="%1.%2.%3.%4.%5.%6.%7.%8.%9"/>
      <w:lvlJc w:val="left"/>
      <w:pPr>
        <w:ind w:left="7815" w:hanging="1800"/>
      </w:pPr>
      <w:rPr>
        <w:rFonts w:hint="default"/>
      </w:rPr>
    </w:lvl>
  </w:abstractNum>
  <w:abstractNum w:abstractNumId="3" w15:restartNumberingAfterBreak="0">
    <w:nsid w:val="110A5D68"/>
    <w:multiLevelType w:val="hybridMultilevel"/>
    <w:tmpl w:val="7644B158"/>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4" w15:restartNumberingAfterBreak="0">
    <w:nsid w:val="122D0532"/>
    <w:multiLevelType w:val="hybridMultilevel"/>
    <w:tmpl w:val="15F832BE"/>
    <w:lvl w:ilvl="0" w:tplc="0409000F">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5" w15:restartNumberingAfterBreak="0">
    <w:nsid w:val="24BE364C"/>
    <w:multiLevelType w:val="hybridMultilevel"/>
    <w:tmpl w:val="9C4C9EE0"/>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6" w15:restartNumberingAfterBreak="0">
    <w:nsid w:val="267800E2"/>
    <w:multiLevelType w:val="hybridMultilevel"/>
    <w:tmpl w:val="AA3671F0"/>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7" w15:restartNumberingAfterBreak="0">
    <w:nsid w:val="2B6E5DAE"/>
    <w:multiLevelType w:val="multilevel"/>
    <w:tmpl w:val="593609AE"/>
    <w:lvl w:ilvl="0">
      <w:start w:val="1"/>
      <w:numFmt w:val="decimal"/>
      <w:lvlText w:val="%1.0"/>
      <w:lvlJc w:val="left"/>
      <w:pPr>
        <w:ind w:left="720" w:hanging="465"/>
      </w:pPr>
      <w:rPr>
        <w:rFonts w:hint="default"/>
      </w:rPr>
    </w:lvl>
    <w:lvl w:ilvl="1">
      <w:start w:val="1"/>
      <w:numFmt w:val="decimal"/>
      <w:lvlText w:val="%1.%2"/>
      <w:lvlJc w:val="left"/>
      <w:pPr>
        <w:ind w:left="1440" w:hanging="465"/>
      </w:pPr>
      <w:rPr>
        <w:rFonts w:hint="default"/>
      </w:rPr>
    </w:lvl>
    <w:lvl w:ilvl="2">
      <w:start w:val="1"/>
      <w:numFmt w:val="decimal"/>
      <w:lvlText w:val="%1.%2.%3"/>
      <w:lvlJc w:val="left"/>
      <w:pPr>
        <w:ind w:left="2415" w:hanging="720"/>
      </w:pPr>
      <w:rPr>
        <w:rFonts w:ascii="Arial" w:hAnsi="Arial" w:cs="Arial" w:hint="default"/>
      </w:rPr>
    </w:lvl>
    <w:lvl w:ilvl="3">
      <w:start w:val="1"/>
      <w:numFmt w:val="bullet"/>
      <w:lvlText w:val=""/>
      <w:lvlJc w:val="left"/>
      <w:pPr>
        <w:ind w:left="2775" w:hanging="360"/>
      </w:pPr>
      <w:rPr>
        <w:rFonts w:ascii="Symbol" w:hAnsi="Symbol" w:hint="default"/>
      </w:rPr>
    </w:lvl>
    <w:lvl w:ilvl="4">
      <w:start w:val="1"/>
      <w:numFmt w:val="decimal"/>
      <w:lvlText w:val="%1.%2.%3.%4.%5"/>
      <w:lvlJc w:val="left"/>
      <w:pPr>
        <w:ind w:left="4215" w:hanging="1080"/>
      </w:pPr>
      <w:rPr>
        <w:rFonts w:hint="default"/>
      </w:rPr>
    </w:lvl>
    <w:lvl w:ilvl="5">
      <w:start w:val="1"/>
      <w:numFmt w:val="decimal"/>
      <w:lvlText w:val="%1.%2.%3.%4.%5.%6"/>
      <w:lvlJc w:val="left"/>
      <w:pPr>
        <w:ind w:left="4935" w:hanging="1080"/>
      </w:pPr>
      <w:rPr>
        <w:rFonts w:hint="default"/>
      </w:rPr>
    </w:lvl>
    <w:lvl w:ilvl="6">
      <w:start w:val="1"/>
      <w:numFmt w:val="decimal"/>
      <w:lvlText w:val="%1.%2.%3.%4.%5.%6.%7"/>
      <w:lvlJc w:val="left"/>
      <w:pPr>
        <w:ind w:left="9630" w:hanging="1440"/>
      </w:pPr>
      <w:rPr>
        <w:rFonts w:hint="default"/>
      </w:rPr>
    </w:lvl>
    <w:lvl w:ilvl="7">
      <w:start w:val="1"/>
      <w:numFmt w:val="decimal"/>
      <w:lvlText w:val="%1.%2.%3.%4.%5.%6.%7.%8"/>
      <w:lvlJc w:val="left"/>
      <w:pPr>
        <w:ind w:left="6735" w:hanging="1440"/>
      </w:pPr>
      <w:rPr>
        <w:rFonts w:hint="default"/>
      </w:rPr>
    </w:lvl>
    <w:lvl w:ilvl="8">
      <w:start w:val="1"/>
      <w:numFmt w:val="decimal"/>
      <w:lvlText w:val="%1.%2.%3.%4.%5.%6.%7.%8.%9"/>
      <w:lvlJc w:val="left"/>
      <w:pPr>
        <w:ind w:left="7815" w:hanging="1800"/>
      </w:pPr>
      <w:rPr>
        <w:rFonts w:hint="default"/>
      </w:rPr>
    </w:lvl>
  </w:abstractNum>
  <w:abstractNum w:abstractNumId="8" w15:restartNumberingAfterBreak="0">
    <w:nsid w:val="2D4F7060"/>
    <w:multiLevelType w:val="multilevel"/>
    <w:tmpl w:val="2EA60532"/>
    <w:lvl w:ilvl="0">
      <w:start w:val="1"/>
      <w:numFmt w:val="decimal"/>
      <w:pStyle w:val="kj0010"/>
      <w:lvlText w:val="%1.0"/>
      <w:lvlJc w:val="left"/>
      <w:pPr>
        <w:ind w:left="720" w:hanging="465"/>
      </w:pPr>
      <w:rPr>
        <w:rFonts w:hint="default"/>
      </w:rPr>
    </w:lvl>
    <w:lvl w:ilvl="1">
      <w:start w:val="1"/>
      <w:numFmt w:val="decimal"/>
      <w:pStyle w:val="kj0212"/>
      <w:lvlText w:val="%1.%2"/>
      <w:lvlJc w:val="left"/>
      <w:pPr>
        <w:ind w:left="1440" w:hanging="465"/>
      </w:pPr>
      <w:rPr>
        <w:rFonts w:hint="default"/>
      </w:rPr>
    </w:lvl>
    <w:lvl w:ilvl="2">
      <w:start w:val="1"/>
      <w:numFmt w:val="decimal"/>
      <w:pStyle w:val="kj03123"/>
      <w:lvlText w:val="%1.%2.%3"/>
      <w:lvlJc w:val="left"/>
      <w:pPr>
        <w:ind w:left="2415" w:hanging="720"/>
      </w:pPr>
      <w:rPr>
        <w:rFonts w:hint="default"/>
        <w:b w:val="0"/>
        <w:bCs/>
      </w:rPr>
    </w:lvl>
    <w:lvl w:ilvl="3">
      <w:start w:val="1"/>
      <w:numFmt w:val="decimal"/>
      <w:pStyle w:val="kj041234"/>
      <w:lvlText w:val="%1.%2.%3.%4"/>
      <w:lvlJc w:val="left"/>
      <w:pPr>
        <w:ind w:left="3135" w:hanging="720"/>
      </w:pPr>
      <w:rPr>
        <w:rFonts w:hint="default"/>
        <w:b w:val="0"/>
        <w:bCs/>
      </w:rPr>
    </w:lvl>
    <w:lvl w:ilvl="4">
      <w:start w:val="1"/>
      <w:numFmt w:val="decimal"/>
      <w:pStyle w:val="kj0512345"/>
      <w:lvlText w:val="%1.%2.%3.%4.%5"/>
      <w:lvlJc w:val="left"/>
      <w:pPr>
        <w:ind w:left="4215" w:hanging="1080"/>
      </w:pPr>
      <w:rPr>
        <w:rFonts w:hint="default"/>
      </w:rPr>
    </w:lvl>
    <w:lvl w:ilvl="5">
      <w:start w:val="1"/>
      <w:numFmt w:val="decimal"/>
      <w:pStyle w:val="kj06123456"/>
      <w:lvlText w:val="%1.%2.%3.%4.%5.%6"/>
      <w:lvlJc w:val="left"/>
      <w:pPr>
        <w:ind w:left="4935" w:hanging="1080"/>
      </w:pPr>
      <w:rPr>
        <w:rFonts w:hint="default"/>
      </w:rPr>
    </w:lvl>
    <w:lvl w:ilvl="6">
      <w:start w:val="1"/>
      <w:numFmt w:val="decimal"/>
      <w:pStyle w:val="kj071234567"/>
      <w:lvlText w:val="%1.%2.%3.%4.%5.%6.%7"/>
      <w:lvlJc w:val="left"/>
      <w:pPr>
        <w:ind w:left="9630" w:hanging="1440"/>
      </w:pPr>
      <w:rPr>
        <w:rFonts w:hint="default"/>
      </w:rPr>
    </w:lvl>
    <w:lvl w:ilvl="7">
      <w:start w:val="1"/>
      <w:numFmt w:val="decimal"/>
      <w:lvlText w:val="%1.%2.%3.%4.%5.%6.%7.%8"/>
      <w:lvlJc w:val="left"/>
      <w:pPr>
        <w:ind w:left="6735" w:hanging="1440"/>
      </w:pPr>
      <w:rPr>
        <w:rFonts w:hint="default"/>
      </w:rPr>
    </w:lvl>
    <w:lvl w:ilvl="8">
      <w:start w:val="1"/>
      <w:numFmt w:val="decimal"/>
      <w:lvlText w:val="%1.%2.%3.%4.%5.%6.%7.%8.%9"/>
      <w:lvlJc w:val="left"/>
      <w:pPr>
        <w:ind w:left="7815" w:hanging="1800"/>
      </w:pPr>
      <w:rPr>
        <w:rFonts w:hint="default"/>
      </w:rPr>
    </w:lvl>
  </w:abstractNum>
  <w:abstractNum w:abstractNumId="9" w15:restartNumberingAfterBreak="0">
    <w:nsid w:val="3F0F528B"/>
    <w:multiLevelType w:val="hybridMultilevel"/>
    <w:tmpl w:val="C1C4016C"/>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0" w15:restartNumberingAfterBreak="0">
    <w:nsid w:val="40AA70EF"/>
    <w:multiLevelType w:val="hybridMultilevel"/>
    <w:tmpl w:val="73586AB6"/>
    <w:lvl w:ilvl="0" w:tplc="F92816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D8755C"/>
    <w:multiLevelType w:val="hybridMultilevel"/>
    <w:tmpl w:val="FC9A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320501"/>
    <w:multiLevelType w:val="hybridMultilevel"/>
    <w:tmpl w:val="0C94D24C"/>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3" w15:restartNumberingAfterBreak="0">
    <w:nsid w:val="478B6685"/>
    <w:multiLevelType w:val="hybridMultilevel"/>
    <w:tmpl w:val="E622486C"/>
    <w:lvl w:ilvl="0" w:tplc="04090001">
      <w:start w:val="1"/>
      <w:numFmt w:val="bullet"/>
      <w:lvlText w:val=""/>
      <w:lvlJc w:val="left"/>
      <w:pPr>
        <w:ind w:left="1987" w:hanging="360"/>
      </w:pPr>
      <w:rPr>
        <w:rFonts w:ascii="Symbol" w:hAnsi="Symbol" w:hint="default"/>
      </w:rPr>
    </w:lvl>
    <w:lvl w:ilvl="1" w:tplc="04090003">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4" w15:restartNumberingAfterBreak="0">
    <w:nsid w:val="57A64A21"/>
    <w:multiLevelType w:val="hybridMultilevel"/>
    <w:tmpl w:val="8BDE3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82F5E2C"/>
    <w:multiLevelType w:val="multilevel"/>
    <w:tmpl w:val="232227AC"/>
    <w:lvl w:ilvl="0">
      <w:start w:val="1"/>
      <w:numFmt w:val="decimal"/>
      <w:lvlText w:val="%1.0"/>
      <w:lvlJc w:val="left"/>
      <w:pPr>
        <w:ind w:left="720" w:hanging="465"/>
      </w:pPr>
      <w:rPr>
        <w:rFonts w:hint="default"/>
      </w:rPr>
    </w:lvl>
    <w:lvl w:ilvl="1">
      <w:start w:val="1"/>
      <w:numFmt w:val="decimal"/>
      <w:lvlText w:val="%1.%2"/>
      <w:lvlJc w:val="left"/>
      <w:pPr>
        <w:ind w:left="1440" w:hanging="465"/>
      </w:pPr>
      <w:rPr>
        <w:rFonts w:hint="default"/>
      </w:rPr>
    </w:lvl>
    <w:lvl w:ilvl="2">
      <w:start w:val="1"/>
      <w:numFmt w:val="decimal"/>
      <w:lvlText w:val="%1.%2.%3"/>
      <w:lvlJc w:val="left"/>
      <w:pPr>
        <w:ind w:left="2415" w:hanging="720"/>
      </w:pPr>
      <w:rPr>
        <w:rFonts w:ascii="Arial" w:hAnsi="Arial" w:cs="Arial" w:hint="default"/>
      </w:rPr>
    </w:lvl>
    <w:lvl w:ilvl="3">
      <w:start w:val="1"/>
      <w:numFmt w:val="bullet"/>
      <w:lvlText w:val=""/>
      <w:lvlJc w:val="left"/>
      <w:pPr>
        <w:ind w:left="2808" w:hanging="360"/>
      </w:pPr>
      <w:rPr>
        <w:rFonts w:ascii="Symbol" w:hAnsi="Symbol" w:hint="default"/>
      </w:rPr>
    </w:lvl>
    <w:lvl w:ilvl="4">
      <w:start w:val="1"/>
      <w:numFmt w:val="decimal"/>
      <w:lvlText w:val="%1.%2.%3.%4.%5"/>
      <w:lvlJc w:val="left"/>
      <w:pPr>
        <w:ind w:left="4215" w:hanging="1080"/>
      </w:pPr>
      <w:rPr>
        <w:rFonts w:hint="default"/>
      </w:rPr>
    </w:lvl>
    <w:lvl w:ilvl="5">
      <w:start w:val="1"/>
      <w:numFmt w:val="decimal"/>
      <w:lvlText w:val="%1.%2.%3.%4.%5.%6"/>
      <w:lvlJc w:val="left"/>
      <w:pPr>
        <w:ind w:left="4935" w:hanging="1080"/>
      </w:pPr>
      <w:rPr>
        <w:rFonts w:hint="default"/>
      </w:rPr>
    </w:lvl>
    <w:lvl w:ilvl="6">
      <w:start w:val="1"/>
      <w:numFmt w:val="decimal"/>
      <w:lvlText w:val="%1.%2.%3.%4.%5.%6.%7"/>
      <w:lvlJc w:val="left"/>
      <w:pPr>
        <w:ind w:left="9630" w:hanging="1440"/>
      </w:pPr>
      <w:rPr>
        <w:rFonts w:hint="default"/>
      </w:rPr>
    </w:lvl>
    <w:lvl w:ilvl="7">
      <w:start w:val="1"/>
      <w:numFmt w:val="decimal"/>
      <w:lvlText w:val="%1.%2.%3.%4.%5.%6.%7.%8"/>
      <w:lvlJc w:val="left"/>
      <w:pPr>
        <w:ind w:left="6735" w:hanging="1440"/>
      </w:pPr>
      <w:rPr>
        <w:rFonts w:hint="default"/>
      </w:rPr>
    </w:lvl>
    <w:lvl w:ilvl="8">
      <w:start w:val="1"/>
      <w:numFmt w:val="decimal"/>
      <w:lvlText w:val="%1.%2.%3.%4.%5.%6.%7.%8.%9"/>
      <w:lvlJc w:val="left"/>
      <w:pPr>
        <w:ind w:left="7815" w:hanging="1800"/>
      </w:pPr>
      <w:rPr>
        <w:rFonts w:hint="default"/>
      </w:rPr>
    </w:lvl>
  </w:abstractNum>
  <w:abstractNum w:abstractNumId="16" w15:restartNumberingAfterBreak="0">
    <w:nsid w:val="76EC0D63"/>
    <w:multiLevelType w:val="hybridMultilevel"/>
    <w:tmpl w:val="92DA26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618896">
    <w:abstractNumId w:val="8"/>
  </w:num>
  <w:num w:numId="2" w16cid:durableId="531456868">
    <w:abstractNumId w:val="11"/>
  </w:num>
  <w:num w:numId="3" w16cid:durableId="1600942869">
    <w:abstractNumId w:val="14"/>
  </w:num>
  <w:num w:numId="4" w16cid:durableId="858858866">
    <w:abstractNumId w:val="9"/>
  </w:num>
  <w:num w:numId="5" w16cid:durableId="18441987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3949093">
    <w:abstractNumId w:val="15"/>
  </w:num>
  <w:num w:numId="7" w16cid:durableId="1156335498">
    <w:abstractNumId w:val="1"/>
  </w:num>
  <w:num w:numId="8" w16cid:durableId="1538278872">
    <w:abstractNumId w:val="8"/>
    <w:lvlOverride w:ilvl="0">
      <w:lvl w:ilvl="0">
        <w:start w:val="1"/>
        <w:numFmt w:val="decimal"/>
        <w:pStyle w:val="kj0010"/>
        <w:lvlText w:val="%1.0"/>
        <w:lvlJc w:val="left"/>
        <w:pPr>
          <w:ind w:left="720" w:hanging="465"/>
        </w:pPr>
        <w:rPr>
          <w:rFonts w:hint="default"/>
        </w:rPr>
      </w:lvl>
    </w:lvlOverride>
    <w:lvlOverride w:ilvl="1">
      <w:lvl w:ilvl="1">
        <w:start w:val="1"/>
        <w:numFmt w:val="decimal"/>
        <w:pStyle w:val="kj0212"/>
        <w:lvlText w:val="%1.%2"/>
        <w:lvlJc w:val="left"/>
        <w:pPr>
          <w:ind w:left="1440" w:hanging="465"/>
        </w:pPr>
        <w:rPr>
          <w:rFonts w:hint="default"/>
        </w:rPr>
      </w:lvl>
    </w:lvlOverride>
    <w:lvlOverride w:ilvl="2">
      <w:lvl w:ilvl="2">
        <w:start w:val="1"/>
        <w:numFmt w:val="decimal"/>
        <w:pStyle w:val="kj03123"/>
        <w:lvlText w:val="%1.%2.%3"/>
        <w:lvlJc w:val="left"/>
        <w:pPr>
          <w:ind w:left="2415" w:hanging="720"/>
        </w:pPr>
        <w:rPr>
          <w:rFonts w:ascii="Arial" w:hAnsi="Arial" w:cs="Arial" w:hint="default"/>
          <w:b w:val="0"/>
          <w:bCs/>
        </w:rPr>
      </w:lvl>
    </w:lvlOverride>
    <w:lvlOverride w:ilvl="3">
      <w:lvl w:ilvl="3">
        <w:start w:val="1"/>
        <w:numFmt w:val="decimal"/>
        <w:pStyle w:val="kj041234"/>
        <w:lvlText w:val="%4."/>
        <w:lvlJc w:val="left"/>
        <w:pPr>
          <w:ind w:left="2775" w:hanging="360"/>
        </w:pPr>
      </w:lvl>
    </w:lvlOverride>
    <w:lvlOverride w:ilvl="4">
      <w:lvl w:ilvl="4">
        <w:start w:val="1"/>
        <w:numFmt w:val="decimal"/>
        <w:pStyle w:val="kj0512345"/>
        <w:lvlText w:val="%1.%2.%3.%4.%5"/>
        <w:lvlJc w:val="left"/>
        <w:pPr>
          <w:ind w:left="4215" w:hanging="1080"/>
        </w:pPr>
        <w:rPr>
          <w:rFonts w:hint="default"/>
        </w:rPr>
      </w:lvl>
    </w:lvlOverride>
    <w:lvlOverride w:ilvl="5">
      <w:lvl w:ilvl="5">
        <w:start w:val="1"/>
        <w:numFmt w:val="decimal"/>
        <w:pStyle w:val="kj06123456"/>
        <w:lvlText w:val="%1.%2.%3.%4.%5.%6"/>
        <w:lvlJc w:val="left"/>
        <w:pPr>
          <w:ind w:left="4935" w:hanging="1080"/>
        </w:pPr>
        <w:rPr>
          <w:rFonts w:hint="default"/>
        </w:rPr>
      </w:lvl>
    </w:lvlOverride>
    <w:lvlOverride w:ilvl="6">
      <w:lvl w:ilvl="6">
        <w:start w:val="1"/>
        <w:numFmt w:val="decimal"/>
        <w:pStyle w:val="kj071234567"/>
        <w:lvlText w:val="%1.%2.%3.%4.%5.%6.%7"/>
        <w:lvlJc w:val="left"/>
        <w:pPr>
          <w:ind w:left="9630" w:hanging="1440"/>
        </w:pPr>
        <w:rPr>
          <w:rFonts w:hint="default"/>
        </w:rPr>
      </w:lvl>
    </w:lvlOverride>
    <w:lvlOverride w:ilvl="7">
      <w:lvl w:ilvl="7">
        <w:start w:val="1"/>
        <w:numFmt w:val="decimal"/>
        <w:lvlText w:val="%1.%2.%3.%4.%5.%6.%7.%8"/>
        <w:lvlJc w:val="left"/>
        <w:pPr>
          <w:ind w:left="6735" w:hanging="1440"/>
        </w:pPr>
        <w:rPr>
          <w:rFonts w:hint="default"/>
        </w:rPr>
      </w:lvl>
    </w:lvlOverride>
    <w:lvlOverride w:ilvl="8">
      <w:lvl w:ilvl="8">
        <w:start w:val="1"/>
        <w:numFmt w:val="decimal"/>
        <w:lvlText w:val="%1.%2.%3.%4.%5.%6.%7.%8.%9"/>
        <w:lvlJc w:val="left"/>
        <w:pPr>
          <w:ind w:left="7815" w:hanging="1800"/>
        </w:pPr>
        <w:rPr>
          <w:rFonts w:hint="default"/>
        </w:rPr>
      </w:lvl>
    </w:lvlOverride>
  </w:num>
  <w:num w:numId="9" w16cid:durableId="538708896">
    <w:abstractNumId w:val="7"/>
  </w:num>
  <w:num w:numId="10" w16cid:durableId="1824733040">
    <w:abstractNumId w:val="4"/>
  </w:num>
  <w:num w:numId="11" w16cid:durableId="503592237">
    <w:abstractNumId w:val="16"/>
  </w:num>
  <w:num w:numId="12" w16cid:durableId="592863257">
    <w:abstractNumId w:val="10"/>
  </w:num>
  <w:num w:numId="13" w16cid:durableId="1449396613">
    <w:abstractNumId w:val="0"/>
  </w:num>
  <w:num w:numId="14" w16cid:durableId="579172603">
    <w:abstractNumId w:val="2"/>
  </w:num>
  <w:num w:numId="15" w16cid:durableId="2131318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9743365">
    <w:abstractNumId w:val="6"/>
  </w:num>
  <w:num w:numId="17" w16cid:durableId="1970015954">
    <w:abstractNumId w:val="13"/>
  </w:num>
  <w:num w:numId="18" w16cid:durableId="1706907635">
    <w:abstractNumId w:val="12"/>
  </w:num>
  <w:num w:numId="19" w16cid:durableId="1975988387">
    <w:abstractNumId w:val="5"/>
  </w:num>
  <w:num w:numId="20" w16cid:durableId="1758165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290"/>
    <w:rsid w:val="00015DD8"/>
    <w:rsid w:val="00036D75"/>
    <w:rsid w:val="00062B7B"/>
    <w:rsid w:val="00066290"/>
    <w:rsid w:val="000677C7"/>
    <w:rsid w:val="000704B1"/>
    <w:rsid w:val="00071D89"/>
    <w:rsid w:val="000826C1"/>
    <w:rsid w:val="00083C8C"/>
    <w:rsid w:val="00096C9B"/>
    <w:rsid w:val="000A0D93"/>
    <w:rsid w:val="000C2EB0"/>
    <w:rsid w:val="000E144C"/>
    <w:rsid w:val="000E3C26"/>
    <w:rsid w:val="000F44F0"/>
    <w:rsid w:val="000F521D"/>
    <w:rsid w:val="000F6213"/>
    <w:rsid w:val="00101602"/>
    <w:rsid w:val="001118F9"/>
    <w:rsid w:val="00121661"/>
    <w:rsid w:val="0013082F"/>
    <w:rsid w:val="00134A29"/>
    <w:rsid w:val="00154D6D"/>
    <w:rsid w:val="00163AA3"/>
    <w:rsid w:val="00164CC0"/>
    <w:rsid w:val="00186118"/>
    <w:rsid w:val="001927AD"/>
    <w:rsid w:val="001A44AB"/>
    <w:rsid w:val="001D3731"/>
    <w:rsid w:val="001D5856"/>
    <w:rsid w:val="001D5FBA"/>
    <w:rsid w:val="001F2E09"/>
    <w:rsid w:val="001F4B9D"/>
    <w:rsid w:val="00201F1B"/>
    <w:rsid w:val="00226947"/>
    <w:rsid w:val="00227B71"/>
    <w:rsid w:val="00232F72"/>
    <w:rsid w:val="00243B94"/>
    <w:rsid w:val="00261F74"/>
    <w:rsid w:val="0026551D"/>
    <w:rsid w:val="00266C9B"/>
    <w:rsid w:val="00280B47"/>
    <w:rsid w:val="0028256B"/>
    <w:rsid w:val="002A6A1B"/>
    <w:rsid w:val="002B06FA"/>
    <w:rsid w:val="002B3FD8"/>
    <w:rsid w:val="002B760D"/>
    <w:rsid w:val="0030133D"/>
    <w:rsid w:val="0031183E"/>
    <w:rsid w:val="003150F6"/>
    <w:rsid w:val="0032096C"/>
    <w:rsid w:val="00325CF2"/>
    <w:rsid w:val="003268D1"/>
    <w:rsid w:val="003506F2"/>
    <w:rsid w:val="003509FB"/>
    <w:rsid w:val="00376AE6"/>
    <w:rsid w:val="0039398F"/>
    <w:rsid w:val="003A5372"/>
    <w:rsid w:val="003A6020"/>
    <w:rsid w:val="003C5F6B"/>
    <w:rsid w:val="003D6B28"/>
    <w:rsid w:val="003E551E"/>
    <w:rsid w:val="003F6C08"/>
    <w:rsid w:val="00406706"/>
    <w:rsid w:val="00415FDE"/>
    <w:rsid w:val="00416E56"/>
    <w:rsid w:val="004230FD"/>
    <w:rsid w:val="004567BB"/>
    <w:rsid w:val="00497442"/>
    <w:rsid w:val="004A120C"/>
    <w:rsid w:val="004A40FB"/>
    <w:rsid w:val="004B499E"/>
    <w:rsid w:val="004C4E3C"/>
    <w:rsid w:val="004C7296"/>
    <w:rsid w:val="004D7FD3"/>
    <w:rsid w:val="004E752A"/>
    <w:rsid w:val="004F1116"/>
    <w:rsid w:val="005240BE"/>
    <w:rsid w:val="00532F13"/>
    <w:rsid w:val="00543E95"/>
    <w:rsid w:val="00547AA0"/>
    <w:rsid w:val="00550E8E"/>
    <w:rsid w:val="005712C8"/>
    <w:rsid w:val="005814A3"/>
    <w:rsid w:val="00587B18"/>
    <w:rsid w:val="005A2C1C"/>
    <w:rsid w:val="005B09ED"/>
    <w:rsid w:val="005B18E6"/>
    <w:rsid w:val="005D612F"/>
    <w:rsid w:val="005E3FF1"/>
    <w:rsid w:val="005E67E0"/>
    <w:rsid w:val="00600F2A"/>
    <w:rsid w:val="006049CA"/>
    <w:rsid w:val="006075B3"/>
    <w:rsid w:val="00634E8F"/>
    <w:rsid w:val="00687AEE"/>
    <w:rsid w:val="00694C95"/>
    <w:rsid w:val="006A476B"/>
    <w:rsid w:val="006A7878"/>
    <w:rsid w:val="006E42E0"/>
    <w:rsid w:val="006E4A1B"/>
    <w:rsid w:val="006F7259"/>
    <w:rsid w:val="00720937"/>
    <w:rsid w:val="00727EB3"/>
    <w:rsid w:val="007327C5"/>
    <w:rsid w:val="007510E9"/>
    <w:rsid w:val="00752910"/>
    <w:rsid w:val="0076044D"/>
    <w:rsid w:val="00771799"/>
    <w:rsid w:val="00775A5A"/>
    <w:rsid w:val="0079245A"/>
    <w:rsid w:val="007A7E99"/>
    <w:rsid w:val="007B6B78"/>
    <w:rsid w:val="007C67D5"/>
    <w:rsid w:val="007C6990"/>
    <w:rsid w:val="007D592C"/>
    <w:rsid w:val="007D6D80"/>
    <w:rsid w:val="007D72F4"/>
    <w:rsid w:val="007E5BD9"/>
    <w:rsid w:val="008072AF"/>
    <w:rsid w:val="008165A0"/>
    <w:rsid w:val="008338FC"/>
    <w:rsid w:val="00841592"/>
    <w:rsid w:val="00860E81"/>
    <w:rsid w:val="0086105D"/>
    <w:rsid w:val="00864B79"/>
    <w:rsid w:val="00885AD7"/>
    <w:rsid w:val="008A1F2C"/>
    <w:rsid w:val="008D0A96"/>
    <w:rsid w:val="008D14B7"/>
    <w:rsid w:val="0090016F"/>
    <w:rsid w:val="0090174D"/>
    <w:rsid w:val="009220FF"/>
    <w:rsid w:val="00925ED8"/>
    <w:rsid w:val="00972698"/>
    <w:rsid w:val="009951CC"/>
    <w:rsid w:val="009B06E1"/>
    <w:rsid w:val="009C13E0"/>
    <w:rsid w:val="00A02806"/>
    <w:rsid w:val="00A26A3A"/>
    <w:rsid w:val="00A26D14"/>
    <w:rsid w:val="00A4790C"/>
    <w:rsid w:val="00A5437B"/>
    <w:rsid w:val="00A57AD4"/>
    <w:rsid w:val="00A64753"/>
    <w:rsid w:val="00A67CF8"/>
    <w:rsid w:val="00A70D75"/>
    <w:rsid w:val="00A8046A"/>
    <w:rsid w:val="00A8435D"/>
    <w:rsid w:val="00A9394F"/>
    <w:rsid w:val="00AB073A"/>
    <w:rsid w:val="00AB1036"/>
    <w:rsid w:val="00AC279B"/>
    <w:rsid w:val="00AC2C11"/>
    <w:rsid w:val="00AC4EBD"/>
    <w:rsid w:val="00AD1E55"/>
    <w:rsid w:val="00AF2EB5"/>
    <w:rsid w:val="00B1355E"/>
    <w:rsid w:val="00B37D3F"/>
    <w:rsid w:val="00B53B6E"/>
    <w:rsid w:val="00B91822"/>
    <w:rsid w:val="00B966A9"/>
    <w:rsid w:val="00BA1391"/>
    <w:rsid w:val="00BA31B3"/>
    <w:rsid w:val="00BB242B"/>
    <w:rsid w:val="00BB4BEF"/>
    <w:rsid w:val="00BC1831"/>
    <w:rsid w:val="00BC5193"/>
    <w:rsid w:val="00BE5F22"/>
    <w:rsid w:val="00BF4986"/>
    <w:rsid w:val="00BF6A22"/>
    <w:rsid w:val="00BF7B13"/>
    <w:rsid w:val="00C07772"/>
    <w:rsid w:val="00C07B88"/>
    <w:rsid w:val="00C116D9"/>
    <w:rsid w:val="00C273C0"/>
    <w:rsid w:val="00C35F63"/>
    <w:rsid w:val="00C47D90"/>
    <w:rsid w:val="00C52846"/>
    <w:rsid w:val="00C52989"/>
    <w:rsid w:val="00C53EEF"/>
    <w:rsid w:val="00C57C93"/>
    <w:rsid w:val="00C6356C"/>
    <w:rsid w:val="00C63F1F"/>
    <w:rsid w:val="00C950F8"/>
    <w:rsid w:val="00C95A77"/>
    <w:rsid w:val="00CA1FAE"/>
    <w:rsid w:val="00CA220E"/>
    <w:rsid w:val="00CC32D0"/>
    <w:rsid w:val="00CD0F27"/>
    <w:rsid w:val="00CE5338"/>
    <w:rsid w:val="00D14384"/>
    <w:rsid w:val="00D15C9F"/>
    <w:rsid w:val="00D22B88"/>
    <w:rsid w:val="00D32A13"/>
    <w:rsid w:val="00D365C8"/>
    <w:rsid w:val="00D56E4B"/>
    <w:rsid w:val="00D67C92"/>
    <w:rsid w:val="00D724B6"/>
    <w:rsid w:val="00D93EDF"/>
    <w:rsid w:val="00DA58A2"/>
    <w:rsid w:val="00DB2389"/>
    <w:rsid w:val="00DB5797"/>
    <w:rsid w:val="00DC5845"/>
    <w:rsid w:val="00DE19AB"/>
    <w:rsid w:val="00DE3ABD"/>
    <w:rsid w:val="00E00DFD"/>
    <w:rsid w:val="00E26FE2"/>
    <w:rsid w:val="00E447B6"/>
    <w:rsid w:val="00E46CC4"/>
    <w:rsid w:val="00E55AB9"/>
    <w:rsid w:val="00E60CF7"/>
    <w:rsid w:val="00E61B50"/>
    <w:rsid w:val="00EA3532"/>
    <w:rsid w:val="00EC56EA"/>
    <w:rsid w:val="00ED237D"/>
    <w:rsid w:val="00ED6CB8"/>
    <w:rsid w:val="00ED7275"/>
    <w:rsid w:val="00EE0305"/>
    <w:rsid w:val="00EE1DCB"/>
    <w:rsid w:val="00EE2669"/>
    <w:rsid w:val="00EE2D24"/>
    <w:rsid w:val="00EE6C98"/>
    <w:rsid w:val="00EF27E3"/>
    <w:rsid w:val="00EF5E0D"/>
    <w:rsid w:val="00F10D8B"/>
    <w:rsid w:val="00F12179"/>
    <w:rsid w:val="00F2374D"/>
    <w:rsid w:val="00F308A9"/>
    <w:rsid w:val="00F44D71"/>
    <w:rsid w:val="00F5764C"/>
    <w:rsid w:val="00F80227"/>
    <w:rsid w:val="00F8335A"/>
    <w:rsid w:val="00FA3579"/>
    <w:rsid w:val="00FC2358"/>
    <w:rsid w:val="00FC287D"/>
    <w:rsid w:val="00FD5947"/>
    <w:rsid w:val="00FE0C45"/>
    <w:rsid w:val="00FE0C48"/>
    <w:rsid w:val="00FF5CD1"/>
    <w:rsid w:val="00FF6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A59A3D4"/>
  <w15:chartTrackingRefBased/>
  <w15:docId w15:val="{4198A6D1-07B3-4218-B398-F320EB4C9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74D"/>
    <w:pPr>
      <w:spacing w:after="0"/>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67C92"/>
    <w:pPr>
      <w:pBdr>
        <w:left w:val="single" w:sz="18" w:space="1" w:color="auto"/>
        <w:bottom w:val="single" w:sz="18" w:space="1" w:color="auto"/>
        <w:right w:val="single" w:sz="18" w:space="1" w:color="auto"/>
      </w:pBdr>
      <w:tabs>
        <w:tab w:val="left" w:pos="450"/>
        <w:tab w:val="left" w:pos="630"/>
        <w:tab w:val="left" w:pos="810"/>
        <w:tab w:val="left" w:pos="990"/>
        <w:tab w:val="left" w:pos="1170"/>
        <w:tab w:val="left" w:pos="1350"/>
        <w:tab w:val="left" w:pos="1530"/>
        <w:tab w:val="left" w:pos="1710"/>
        <w:tab w:val="left" w:pos="1890"/>
        <w:tab w:val="left" w:pos="2070"/>
        <w:tab w:val="left" w:pos="2250"/>
        <w:tab w:val="left" w:pos="2430"/>
        <w:tab w:val="left" w:pos="2610"/>
        <w:tab w:val="left" w:pos="2790"/>
        <w:tab w:val="left" w:pos="2970"/>
        <w:tab w:val="left" w:pos="3150"/>
        <w:tab w:val="left" w:pos="3330"/>
        <w:tab w:val="left" w:pos="3510"/>
      </w:tabs>
      <w:spacing w:line="240" w:lineRule="auto"/>
      <w:jc w:val="center"/>
    </w:pPr>
    <w:rPr>
      <w:rFonts w:eastAsia="Times New Roman" w:cs="Times New Roman"/>
      <w:b/>
      <w:sz w:val="36"/>
      <w:szCs w:val="20"/>
    </w:rPr>
  </w:style>
  <w:style w:type="character" w:customStyle="1" w:styleId="TitleChar">
    <w:name w:val="Title Char"/>
    <w:basedOn w:val="DefaultParagraphFont"/>
    <w:link w:val="Title"/>
    <w:rsid w:val="00D67C92"/>
    <w:rPr>
      <w:rFonts w:ascii="Arial" w:eastAsia="Times New Roman" w:hAnsi="Arial" w:cs="Times New Roman"/>
      <w:b/>
      <w:sz w:val="36"/>
      <w:szCs w:val="20"/>
    </w:rPr>
  </w:style>
  <w:style w:type="paragraph" w:customStyle="1" w:styleId="kj0010">
    <w:name w:val="kj 00    1.0"/>
    <w:basedOn w:val="ListParagraph"/>
    <w:qFormat/>
    <w:rsid w:val="00066290"/>
    <w:pPr>
      <w:numPr>
        <w:numId w:val="1"/>
      </w:numPr>
      <w:tabs>
        <w:tab w:val="left" w:pos="187"/>
        <w:tab w:val="num" w:pos="360"/>
        <w:tab w:val="left" w:pos="547"/>
        <w:tab w:val="left" w:pos="1267"/>
        <w:tab w:val="left" w:pos="2160"/>
        <w:tab w:val="left" w:pos="3240"/>
        <w:tab w:val="left" w:pos="4507"/>
        <w:tab w:val="left" w:pos="5947"/>
        <w:tab w:val="left" w:pos="7560"/>
      </w:tabs>
      <w:spacing w:before="200"/>
      <w:ind w:left="0" w:firstLine="0"/>
      <w:contextualSpacing/>
    </w:pPr>
    <w:rPr>
      <w:b/>
      <w:sz w:val="22"/>
    </w:rPr>
  </w:style>
  <w:style w:type="paragraph" w:customStyle="1" w:styleId="kj0010TextOnly">
    <w:name w:val="kj 00    1.0 Text Only"/>
    <w:basedOn w:val="Normal"/>
    <w:qFormat/>
    <w:rsid w:val="00F8335A"/>
    <w:pPr>
      <w:tabs>
        <w:tab w:val="left" w:pos="187"/>
        <w:tab w:val="left" w:pos="547"/>
        <w:tab w:val="left" w:pos="1267"/>
        <w:tab w:val="left" w:pos="2160"/>
        <w:tab w:val="left" w:pos="3240"/>
        <w:tab w:val="left" w:pos="4507"/>
        <w:tab w:val="left" w:pos="5947"/>
        <w:tab w:val="left" w:pos="7560"/>
      </w:tabs>
      <w:spacing w:before="80" w:after="80" w:line="240" w:lineRule="auto"/>
      <w:ind w:left="547"/>
    </w:pPr>
    <w:rPr>
      <w:rFonts w:eastAsia="Times New Roman" w:cs="Times New Roman"/>
      <w:sz w:val="22"/>
      <w:szCs w:val="20"/>
    </w:rPr>
  </w:style>
  <w:style w:type="paragraph" w:customStyle="1" w:styleId="kj0212">
    <w:name w:val="kj 02    1.2"/>
    <w:basedOn w:val="ListParagraph"/>
    <w:qFormat/>
    <w:rsid w:val="00066290"/>
    <w:pPr>
      <w:numPr>
        <w:ilvl w:val="1"/>
        <w:numId w:val="1"/>
      </w:numPr>
      <w:tabs>
        <w:tab w:val="left" w:pos="187"/>
        <w:tab w:val="num" w:pos="360"/>
        <w:tab w:val="left" w:pos="547"/>
        <w:tab w:val="left" w:pos="1267"/>
        <w:tab w:val="left" w:pos="2160"/>
        <w:tab w:val="left" w:pos="3240"/>
        <w:tab w:val="left" w:pos="4507"/>
        <w:tab w:val="left" w:pos="5947"/>
        <w:tab w:val="left" w:pos="7560"/>
      </w:tabs>
      <w:spacing w:before="60" w:after="40"/>
      <w:ind w:left="1260" w:hanging="720"/>
    </w:pPr>
    <w:rPr>
      <w:sz w:val="22"/>
    </w:rPr>
  </w:style>
  <w:style w:type="paragraph" w:customStyle="1" w:styleId="kj03123">
    <w:name w:val="kj 03    1.2.3"/>
    <w:basedOn w:val="ListParagraph"/>
    <w:qFormat/>
    <w:rsid w:val="00066290"/>
    <w:pPr>
      <w:numPr>
        <w:ilvl w:val="2"/>
        <w:numId w:val="1"/>
      </w:numPr>
      <w:tabs>
        <w:tab w:val="left" w:pos="187"/>
        <w:tab w:val="num" w:pos="360"/>
        <w:tab w:val="left" w:pos="547"/>
        <w:tab w:val="left" w:pos="1267"/>
        <w:tab w:val="left" w:pos="2160"/>
        <w:tab w:val="left" w:pos="3240"/>
        <w:tab w:val="left" w:pos="4507"/>
        <w:tab w:val="left" w:pos="5947"/>
        <w:tab w:val="left" w:pos="7560"/>
      </w:tabs>
      <w:spacing w:before="60" w:after="40"/>
      <w:ind w:left="2160" w:hanging="900"/>
    </w:pPr>
    <w:rPr>
      <w:noProof/>
      <w:sz w:val="22"/>
    </w:rPr>
  </w:style>
  <w:style w:type="paragraph" w:customStyle="1" w:styleId="kj041234">
    <w:name w:val="kj 04    1.2.3.4"/>
    <w:basedOn w:val="ListParagraph"/>
    <w:qFormat/>
    <w:rsid w:val="00066290"/>
    <w:pPr>
      <w:numPr>
        <w:ilvl w:val="3"/>
        <w:numId w:val="1"/>
      </w:numPr>
      <w:tabs>
        <w:tab w:val="left" w:pos="187"/>
        <w:tab w:val="left" w:pos="547"/>
        <w:tab w:val="left" w:pos="1267"/>
        <w:tab w:val="left" w:pos="2160"/>
        <w:tab w:val="left" w:pos="3240"/>
        <w:tab w:val="left" w:pos="4507"/>
        <w:tab w:val="left" w:pos="5947"/>
        <w:tab w:val="left" w:pos="7560"/>
      </w:tabs>
      <w:spacing w:before="60" w:after="40"/>
      <w:ind w:left="3240" w:hanging="825"/>
    </w:pPr>
    <w:rPr>
      <w:noProof/>
      <w:sz w:val="22"/>
    </w:rPr>
  </w:style>
  <w:style w:type="paragraph" w:customStyle="1" w:styleId="kj0512345">
    <w:name w:val="kj 05    1.2.3.4.5"/>
    <w:basedOn w:val="ListParagraph"/>
    <w:qFormat/>
    <w:rsid w:val="00066290"/>
    <w:pPr>
      <w:numPr>
        <w:ilvl w:val="4"/>
        <w:numId w:val="1"/>
      </w:numPr>
      <w:tabs>
        <w:tab w:val="left" w:pos="187"/>
        <w:tab w:val="num" w:pos="360"/>
        <w:tab w:val="left" w:pos="547"/>
        <w:tab w:val="left" w:pos="1267"/>
        <w:tab w:val="left" w:pos="2160"/>
        <w:tab w:val="left" w:pos="3240"/>
        <w:tab w:val="left" w:pos="4507"/>
        <w:tab w:val="left" w:pos="5947"/>
        <w:tab w:val="left" w:pos="7560"/>
      </w:tabs>
      <w:spacing w:before="60" w:after="40"/>
      <w:ind w:left="4507" w:hanging="1267"/>
    </w:pPr>
    <w:rPr>
      <w:sz w:val="22"/>
    </w:rPr>
  </w:style>
  <w:style w:type="paragraph" w:customStyle="1" w:styleId="kj06123456">
    <w:name w:val="kj 06    1.2.3.4.5.6"/>
    <w:basedOn w:val="kj0512345"/>
    <w:qFormat/>
    <w:rsid w:val="00066290"/>
    <w:pPr>
      <w:numPr>
        <w:ilvl w:val="5"/>
      </w:numPr>
      <w:ind w:left="5940" w:hanging="1440"/>
    </w:pPr>
    <w:rPr>
      <w:rFonts w:cs="Arial"/>
    </w:rPr>
  </w:style>
  <w:style w:type="paragraph" w:customStyle="1" w:styleId="kj071234567">
    <w:name w:val="kj 07    1.2.3.4.5.6.7"/>
    <w:basedOn w:val="ListParagraph"/>
    <w:qFormat/>
    <w:rsid w:val="00066290"/>
    <w:pPr>
      <w:numPr>
        <w:ilvl w:val="6"/>
        <w:numId w:val="1"/>
      </w:numPr>
      <w:tabs>
        <w:tab w:val="left" w:pos="187"/>
        <w:tab w:val="num" w:pos="360"/>
        <w:tab w:val="left" w:pos="547"/>
        <w:tab w:val="left" w:pos="1267"/>
        <w:tab w:val="left" w:pos="2160"/>
        <w:tab w:val="left" w:pos="3240"/>
        <w:tab w:val="left" w:pos="4507"/>
        <w:tab w:val="left" w:pos="5947"/>
        <w:tab w:val="left" w:pos="7560"/>
      </w:tabs>
      <w:spacing w:before="60" w:after="40"/>
      <w:ind w:left="7560" w:hanging="1620"/>
    </w:pPr>
    <w:rPr>
      <w:noProof/>
      <w:sz w:val="22"/>
    </w:rPr>
  </w:style>
  <w:style w:type="paragraph" w:customStyle="1" w:styleId="kj041234TextOnly">
    <w:name w:val="kj 04    1.2.3.4 Text Only"/>
    <w:basedOn w:val="Normal"/>
    <w:qFormat/>
    <w:rsid w:val="00E60CF7"/>
    <w:pPr>
      <w:tabs>
        <w:tab w:val="left" w:pos="187"/>
        <w:tab w:val="left" w:pos="547"/>
        <w:tab w:val="left" w:pos="1267"/>
        <w:tab w:val="left" w:pos="2160"/>
        <w:tab w:val="left" w:pos="3240"/>
        <w:tab w:val="left" w:pos="4507"/>
        <w:tab w:val="left" w:pos="5947"/>
        <w:tab w:val="left" w:pos="7560"/>
      </w:tabs>
      <w:spacing w:before="80" w:after="80" w:line="240" w:lineRule="auto"/>
      <w:ind w:left="3240"/>
    </w:pPr>
    <w:rPr>
      <w:rFonts w:eastAsia="Times New Roman" w:cs="Times New Roman"/>
      <w:sz w:val="22"/>
      <w:szCs w:val="20"/>
    </w:rPr>
  </w:style>
  <w:style w:type="paragraph" w:customStyle="1" w:styleId="kj0212TextOnly">
    <w:name w:val="kj 02    1.2 Text Only"/>
    <w:basedOn w:val="kj0010TextOnly"/>
    <w:qFormat/>
    <w:rsid w:val="00154D6D"/>
    <w:pPr>
      <w:ind w:left="1267"/>
      <w:contextualSpacing/>
    </w:pPr>
  </w:style>
  <w:style w:type="paragraph" w:customStyle="1" w:styleId="kj0212FIGURETITLE">
    <w:name w:val="kj 02    1.2 FIGURE TITLE"/>
    <w:basedOn w:val="Normal"/>
    <w:qFormat/>
    <w:rsid w:val="00066290"/>
    <w:pPr>
      <w:tabs>
        <w:tab w:val="left" w:pos="187"/>
        <w:tab w:val="left" w:pos="547"/>
        <w:tab w:val="left" w:pos="1267"/>
        <w:tab w:val="left" w:pos="2160"/>
        <w:tab w:val="left" w:pos="3240"/>
        <w:tab w:val="left" w:pos="4507"/>
        <w:tab w:val="left" w:pos="5947"/>
        <w:tab w:val="left" w:pos="7560"/>
      </w:tabs>
      <w:spacing w:before="200" w:after="80" w:line="240" w:lineRule="auto"/>
      <w:ind w:left="1252" w:firstLine="8"/>
      <w:jc w:val="center"/>
    </w:pPr>
    <w:rPr>
      <w:rFonts w:eastAsia="Times New Roman" w:cs="Arial"/>
      <w:b/>
      <w:bCs/>
      <w:caps/>
      <w:sz w:val="18"/>
      <w:szCs w:val="20"/>
    </w:rPr>
  </w:style>
  <w:style w:type="paragraph" w:customStyle="1" w:styleId="kj0512345TextOnly">
    <w:name w:val="kj 05    1.2.3.4.5 Text Only"/>
    <w:basedOn w:val="kj041234TextOnly"/>
    <w:qFormat/>
    <w:rsid w:val="00066290"/>
    <w:pPr>
      <w:tabs>
        <w:tab w:val="left" w:pos="5760"/>
      </w:tabs>
      <w:ind w:left="4500"/>
    </w:pPr>
  </w:style>
  <w:style w:type="paragraph" w:customStyle="1" w:styleId="kj03123FIGURETITLE">
    <w:name w:val="kj 03    1.2.3 FIGURE TITLE"/>
    <w:basedOn w:val="kj0212FIGURETITLE"/>
    <w:qFormat/>
    <w:rsid w:val="00066290"/>
    <w:pPr>
      <w:ind w:left="2160" w:firstLine="0"/>
    </w:pPr>
  </w:style>
  <w:style w:type="paragraph" w:customStyle="1" w:styleId="kj041234FIGURETITLE">
    <w:name w:val="kj 04    1.2.3.4 FIGURE TITLE"/>
    <w:basedOn w:val="kj0212FIGURETITLE"/>
    <w:qFormat/>
    <w:rsid w:val="00066290"/>
    <w:pPr>
      <w:ind w:left="3240" w:firstLine="0"/>
    </w:pPr>
  </w:style>
  <w:style w:type="paragraph" w:styleId="ListParagraph">
    <w:name w:val="List Paragraph"/>
    <w:basedOn w:val="Normal"/>
    <w:uiPriority w:val="34"/>
    <w:qFormat/>
    <w:rsid w:val="00066290"/>
    <w:pPr>
      <w:spacing w:line="240" w:lineRule="auto"/>
      <w:ind w:left="720"/>
    </w:pPr>
    <w:rPr>
      <w:rFonts w:eastAsia="Times New Roman" w:cs="Times New Roman"/>
      <w:szCs w:val="20"/>
    </w:rPr>
  </w:style>
  <w:style w:type="table" w:styleId="TableGrid">
    <w:name w:val="Table Grid"/>
    <w:basedOn w:val="TableNormal"/>
    <w:uiPriority w:val="59"/>
    <w:rsid w:val="0006629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2ptBoldCentered">
    <w:name w:val="Style 12 pt Bold Centered"/>
    <w:basedOn w:val="Normal"/>
    <w:rsid w:val="00066290"/>
    <w:pPr>
      <w:spacing w:line="240" w:lineRule="auto"/>
      <w:jc w:val="center"/>
    </w:pPr>
    <w:rPr>
      <w:rFonts w:eastAsia="Times New Roman" w:cs="Times New Roman"/>
      <w:b/>
      <w:bCs/>
      <w:sz w:val="24"/>
      <w:szCs w:val="20"/>
    </w:rPr>
  </w:style>
  <w:style w:type="paragraph" w:customStyle="1" w:styleId="Style9ptBoldCentered">
    <w:name w:val="Style 9 pt Bold Centered"/>
    <w:basedOn w:val="Normal"/>
    <w:rsid w:val="00066290"/>
    <w:pPr>
      <w:spacing w:line="240" w:lineRule="auto"/>
      <w:jc w:val="center"/>
    </w:pPr>
    <w:rPr>
      <w:rFonts w:eastAsia="Times New Roman" w:cs="Times New Roman"/>
      <w:b/>
      <w:bCs/>
      <w:sz w:val="18"/>
      <w:szCs w:val="20"/>
    </w:rPr>
  </w:style>
  <w:style w:type="paragraph" w:customStyle="1" w:styleId="Style11ptText1UnderlineCentered">
    <w:name w:val="Style 11 pt Text 1 Underline Centered"/>
    <w:basedOn w:val="Normal"/>
    <w:rsid w:val="00066290"/>
    <w:pPr>
      <w:spacing w:line="240" w:lineRule="auto"/>
      <w:jc w:val="center"/>
    </w:pPr>
    <w:rPr>
      <w:rFonts w:eastAsia="Times New Roman" w:cs="Times New Roman"/>
      <w:color w:val="000000" w:themeColor="text1"/>
      <w:szCs w:val="20"/>
      <w:u w:val="single"/>
    </w:rPr>
  </w:style>
  <w:style w:type="paragraph" w:styleId="TOC1">
    <w:name w:val="toc 1"/>
    <w:basedOn w:val="Normal"/>
    <w:next w:val="Normal"/>
    <w:autoRedefine/>
    <w:uiPriority w:val="39"/>
    <w:rsid w:val="001118F9"/>
    <w:pPr>
      <w:tabs>
        <w:tab w:val="left" w:pos="576"/>
        <w:tab w:val="right" w:leader="dot" w:pos="10786"/>
      </w:tabs>
      <w:spacing w:after="40" w:line="240" w:lineRule="auto"/>
    </w:pPr>
    <w:rPr>
      <w:rFonts w:eastAsia="Times New Roman" w:cs="Arial"/>
      <w:szCs w:val="20"/>
    </w:rPr>
  </w:style>
  <w:style w:type="paragraph" w:styleId="TOC2">
    <w:name w:val="toc 2"/>
    <w:basedOn w:val="Normal"/>
    <w:next w:val="Normal"/>
    <w:autoRedefine/>
    <w:uiPriority w:val="39"/>
    <w:rsid w:val="001118F9"/>
    <w:pPr>
      <w:tabs>
        <w:tab w:val="left" w:pos="1152"/>
        <w:tab w:val="right" w:leader="dot" w:pos="10786"/>
      </w:tabs>
      <w:spacing w:after="40" w:line="240" w:lineRule="auto"/>
      <w:ind w:left="576"/>
    </w:pPr>
    <w:rPr>
      <w:rFonts w:eastAsia="Times New Roman" w:cs="Arial"/>
      <w:szCs w:val="20"/>
    </w:rPr>
  </w:style>
  <w:style w:type="character" w:styleId="Hyperlink">
    <w:name w:val="Hyperlink"/>
    <w:basedOn w:val="DefaultParagraphFont"/>
    <w:uiPriority w:val="99"/>
    <w:unhideWhenUsed/>
    <w:rsid w:val="00066290"/>
    <w:rPr>
      <w:color w:val="0563C1" w:themeColor="hyperlink"/>
      <w:u w:val="single"/>
    </w:rPr>
  </w:style>
  <w:style w:type="paragraph" w:styleId="Header">
    <w:name w:val="header"/>
    <w:basedOn w:val="Normal"/>
    <w:link w:val="HeaderChar"/>
    <w:uiPriority w:val="99"/>
    <w:unhideWhenUsed/>
    <w:rsid w:val="00066290"/>
    <w:pPr>
      <w:tabs>
        <w:tab w:val="center" w:pos="4680"/>
        <w:tab w:val="right" w:pos="9360"/>
      </w:tabs>
      <w:spacing w:line="240" w:lineRule="auto"/>
    </w:pPr>
  </w:style>
  <w:style w:type="character" w:customStyle="1" w:styleId="HeaderChar">
    <w:name w:val="Header Char"/>
    <w:basedOn w:val="DefaultParagraphFont"/>
    <w:link w:val="Header"/>
    <w:uiPriority w:val="99"/>
    <w:rsid w:val="00066290"/>
  </w:style>
  <w:style w:type="paragraph" w:styleId="Footer">
    <w:name w:val="footer"/>
    <w:basedOn w:val="Normal"/>
    <w:link w:val="FooterChar"/>
    <w:uiPriority w:val="99"/>
    <w:unhideWhenUsed/>
    <w:rsid w:val="00066290"/>
    <w:pPr>
      <w:tabs>
        <w:tab w:val="center" w:pos="4680"/>
        <w:tab w:val="right" w:pos="9360"/>
      </w:tabs>
      <w:spacing w:line="240" w:lineRule="auto"/>
    </w:pPr>
  </w:style>
  <w:style w:type="character" w:customStyle="1" w:styleId="FooterChar">
    <w:name w:val="Footer Char"/>
    <w:basedOn w:val="DefaultParagraphFont"/>
    <w:link w:val="Footer"/>
    <w:uiPriority w:val="99"/>
    <w:rsid w:val="00066290"/>
  </w:style>
  <w:style w:type="paragraph" w:customStyle="1" w:styleId="kj03123TextOnly">
    <w:name w:val="kj 03    1.2.3 Text Only"/>
    <w:basedOn w:val="Normal"/>
    <w:qFormat/>
    <w:rsid w:val="00154D6D"/>
    <w:pPr>
      <w:tabs>
        <w:tab w:val="left" w:pos="187"/>
        <w:tab w:val="left" w:pos="547"/>
        <w:tab w:val="left" w:pos="1267"/>
        <w:tab w:val="left" w:pos="2160"/>
        <w:tab w:val="left" w:pos="3240"/>
        <w:tab w:val="left" w:pos="4507"/>
        <w:tab w:val="left" w:pos="5947"/>
        <w:tab w:val="left" w:pos="7560"/>
      </w:tabs>
      <w:spacing w:before="80" w:after="80" w:line="240" w:lineRule="auto"/>
      <w:ind w:left="2160"/>
      <w:contextualSpacing/>
    </w:pPr>
    <w:rPr>
      <w:rFonts w:eastAsia="Times New Roman" w:cs="Times New Roman"/>
      <w:sz w:val="22"/>
      <w:szCs w:val="20"/>
    </w:rPr>
  </w:style>
  <w:style w:type="character" w:styleId="FollowedHyperlink">
    <w:name w:val="FollowedHyperlink"/>
    <w:basedOn w:val="DefaultParagraphFont"/>
    <w:uiPriority w:val="99"/>
    <w:semiHidden/>
    <w:unhideWhenUsed/>
    <w:rsid w:val="00D14384"/>
    <w:rPr>
      <w:color w:val="954F72" w:themeColor="followedHyperlink"/>
      <w:u w:val="single"/>
    </w:rPr>
  </w:style>
  <w:style w:type="paragraph" w:styleId="Caption">
    <w:name w:val="caption"/>
    <w:basedOn w:val="Normal"/>
    <w:next w:val="Normal"/>
    <w:uiPriority w:val="35"/>
    <w:unhideWhenUsed/>
    <w:qFormat/>
    <w:rsid w:val="00154D6D"/>
    <w:pPr>
      <w:spacing w:after="200" w:line="240" w:lineRule="auto"/>
      <w:jc w:val="center"/>
    </w:pPr>
    <w:rPr>
      <w:b/>
      <w:bCs/>
      <w:caps/>
      <w:color w:val="000000" w:themeColor="text1"/>
      <w:sz w:val="18"/>
      <w:szCs w:val="18"/>
    </w:rPr>
  </w:style>
  <w:style w:type="paragraph" w:customStyle="1" w:styleId="kj0212NOTFORTOC">
    <w:name w:val="kj 02    1.2 NOT FOR TOC"/>
    <w:basedOn w:val="kj0212"/>
    <w:qFormat/>
    <w:rsid w:val="007510E9"/>
    <w:pPr>
      <w:tabs>
        <w:tab w:val="clear" w:pos="360"/>
      </w:tabs>
    </w:pPr>
    <w:rPr>
      <w:rFonts w:cs="Arial"/>
    </w:rPr>
  </w:style>
  <w:style w:type="table" w:customStyle="1" w:styleId="TableGrid1">
    <w:name w:val="Table Grid1"/>
    <w:basedOn w:val="TableNormal"/>
    <w:next w:val="TableGrid"/>
    <w:uiPriority w:val="59"/>
    <w:rsid w:val="009220FF"/>
    <w:pPr>
      <w:spacing w:line="312"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BF4986"/>
  </w:style>
  <w:style w:type="paragraph" w:customStyle="1" w:styleId="TableParagraph">
    <w:name w:val="Table Paragraph"/>
    <w:basedOn w:val="Normal"/>
    <w:uiPriority w:val="1"/>
    <w:rsid w:val="006A476B"/>
    <w:pPr>
      <w:spacing w:after="160" w:line="268" w:lineRule="exact"/>
      <w:ind w:left="103"/>
    </w:pPr>
    <w:rPr>
      <w:rFonts w:asciiTheme="minorHAnsi" w:eastAsiaTheme="minorEastAsia" w:hAnsiTheme="minorHAnsi"/>
      <w:sz w:val="21"/>
      <w:szCs w:val="21"/>
    </w:rPr>
  </w:style>
  <w:style w:type="character" w:styleId="UnresolvedMention">
    <w:name w:val="Unresolved Mention"/>
    <w:basedOn w:val="DefaultParagraphFont"/>
    <w:uiPriority w:val="99"/>
    <w:semiHidden/>
    <w:unhideWhenUsed/>
    <w:rsid w:val="005B09ED"/>
    <w:rPr>
      <w:color w:val="605E5C"/>
      <w:shd w:val="clear" w:color="auto" w:fill="E1DFDD"/>
    </w:rPr>
  </w:style>
  <w:style w:type="paragraph" w:styleId="BodyText">
    <w:name w:val="Body Text"/>
    <w:basedOn w:val="Normal"/>
    <w:link w:val="BodyTextChar"/>
    <w:uiPriority w:val="1"/>
    <w:rsid w:val="00243B94"/>
    <w:pPr>
      <w:spacing w:after="160" w:line="312" w:lineRule="auto"/>
      <w:ind w:left="500"/>
    </w:pPr>
    <w:rPr>
      <w:rFonts w:asciiTheme="minorHAnsi" w:eastAsiaTheme="minorEastAsia" w:hAnsiTheme="minorHAnsi"/>
      <w:sz w:val="21"/>
      <w:szCs w:val="21"/>
    </w:rPr>
  </w:style>
  <w:style w:type="character" w:customStyle="1" w:styleId="BodyTextChar">
    <w:name w:val="Body Text Char"/>
    <w:basedOn w:val="DefaultParagraphFont"/>
    <w:link w:val="BodyText"/>
    <w:uiPriority w:val="1"/>
    <w:rsid w:val="00243B94"/>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854026">
      <w:bodyDiv w:val="1"/>
      <w:marLeft w:val="0"/>
      <w:marRight w:val="0"/>
      <w:marTop w:val="0"/>
      <w:marBottom w:val="0"/>
      <w:divBdr>
        <w:top w:val="none" w:sz="0" w:space="0" w:color="auto"/>
        <w:left w:val="none" w:sz="0" w:space="0" w:color="auto"/>
        <w:bottom w:val="none" w:sz="0" w:space="0" w:color="auto"/>
        <w:right w:val="none" w:sz="0" w:space="0" w:color="auto"/>
      </w:divBdr>
    </w:div>
    <w:div w:id="103110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11.jaggaer.com/portals/gt" TargetMode="External"/><Relationship Id="rId18" Type="http://schemas.openxmlformats.org/officeDocument/2006/relationships/hyperlink" Target="https://www.responsiblemineralsinitiative.org/reporting-templates/cmrt/" TargetMode="External"/><Relationship Id="rId26" Type="http://schemas.openxmlformats.org/officeDocument/2006/relationships/hyperlink" Target="http://www.gtweed.com/supplier-information/" TargetMode="External"/><Relationship Id="rId39" Type="http://schemas.openxmlformats.org/officeDocument/2006/relationships/hyperlink" Target="http://www.iso.org/" TargetMode="External"/><Relationship Id="rId3" Type="http://schemas.openxmlformats.org/officeDocument/2006/relationships/styles" Target="styles.xml"/><Relationship Id="rId21" Type="http://schemas.openxmlformats.org/officeDocument/2006/relationships/hyperlink" Target="https://www.epa.gov/pfas" TargetMode="External"/><Relationship Id="rId34" Type="http://schemas.openxmlformats.org/officeDocument/2006/relationships/hyperlink" Target="http://www.astm.org/" TargetMode="External"/><Relationship Id="rId42" Type="http://schemas.openxmlformats.org/officeDocument/2006/relationships/hyperlink" Target="http://www.assistdocs.com/"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tweed.com/wp-content/uploads/2023/12/Quality-Policy-CP-NBS-19.002-Rev-A-11-14-2023.pdf" TargetMode="External"/><Relationship Id="rId17" Type="http://schemas.openxmlformats.org/officeDocument/2006/relationships/hyperlink" Target="https://www.state.gov/conflict-minerals/" TargetMode="External"/><Relationship Id="rId25" Type="http://schemas.openxmlformats.org/officeDocument/2006/relationships/hyperlink" Target="https://www.gov.uk/guidance/classifying-iron-and-steel" TargetMode="External"/><Relationship Id="rId33" Type="http://schemas.openxmlformats.org/officeDocument/2006/relationships/hyperlink" Target="http://www.asme.org/" TargetMode="External"/><Relationship Id="rId38" Type="http://schemas.openxmlformats.org/officeDocument/2006/relationships/hyperlink" Target="http://ec.europa.eu/environment/waste/weee/index_en.htm" TargetMode="External"/><Relationship Id="rId46" Type="http://schemas.openxmlformats.org/officeDocument/2006/relationships/hyperlink" Target="http://www.sec.gov/News/PressRelease/Detail/PressRelease/1365171484002" TargetMode="External"/><Relationship Id="rId2" Type="http://schemas.openxmlformats.org/officeDocument/2006/relationships/numbering" Target="numbering.xml"/><Relationship Id="rId16" Type="http://schemas.openxmlformats.org/officeDocument/2006/relationships/hyperlink" Target="http://www.conflictfreesourcing.org/" TargetMode="External"/><Relationship Id="rId20" Type="http://schemas.openxmlformats.org/officeDocument/2006/relationships/hyperlink" Target="https://www.epa.gov/chemical-research/pfas-chemical-lists-and-tiered-testing-methods-descriptions" TargetMode="External"/><Relationship Id="rId29" Type="http://schemas.openxmlformats.org/officeDocument/2006/relationships/image" Target="media/image2.png"/><Relationship Id="rId41" Type="http://schemas.openxmlformats.org/officeDocument/2006/relationships/hyperlink" Target="http://www.responsiblebusiness.org/standards/code-of-condu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tweed.com/quality" TargetMode="External"/><Relationship Id="rId24" Type="http://schemas.openxmlformats.org/officeDocument/2006/relationships/hyperlink" Target="https://eur-lex.europa.eu/legal-content/EN/TXT/?uri=CELEX%3A32014R0833" TargetMode="External"/><Relationship Id="rId32" Type="http://schemas.openxmlformats.org/officeDocument/2006/relationships/hyperlink" Target="http://www.ansi.org/" TargetMode="External"/><Relationship Id="rId37" Type="http://schemas.openxmlformats.org/officeDocument/2006/relationships/hyperlink" Target="http://ec.europa.eu/enterprise/policies/european-standards/harmonised-standards/restriction-of-" TargetMode="External"/><Relationship Id="rId40" Type="http://schemas.openxmlformats.org/officeDocument/2006/relationships/hyperlink" Target="http://www.jsa.or.jp/default_english/default_english.html" TargetMode="External"/><Relationship Id="rId45" Type="http://schemas.openxmlformats.org/officeDocument/2006/relationships/hyperlink" Target="http://ofmpub.epa.gov/sor_internet/registry/substreg/home/overview/home.do" TargetMode="External"/><Relationship Id="rId5" Type="http://schemas.openxmlformats.org/officeDocument/2006/relationships/webSettings" Target="webSettings.xml"/><Relationship Id="rId15" Type="http://schemas.openxmlformats.org/officeDocument/2006/relationships/hyperlink" Target="https://www.gtweed.com/terms-and-conditions/" TargetMode="External"/><Relationship Id="rId23" Type="http://schemas.openxmlformats.org/officeDocument/2006/relationships/hyperlink" Target="https://www.gov.uk/government/publications/notice-to-importers-2953-russia-import-sanctions/guidance-on-third-country-processed-iron-and-steel-measures" TargetMode="External"/><Relationship Id="rId28" Type="http://schemas.openxmlformats.org/officeDocument/2006/relationships/hyperlink" Target="mailto:supplier.quality@gtweed.com" TargetMode="External"/><Relationship Id="rId36" Type="http://schemas.openxmlformats.org/officeDocument/2006/relationships/hyperlink" Target="http://echa.europa.eu/web/guest/candidate-list-table" TargetMode="External"/><Relationship Id="rId49" Type="http://schemas.openxmlformats.org/officeDocument/2006/relationships/fontTable" Target="fontTable.xml"/><Relationship Id="rId10" Type="http://schemas.openxmlformats.org/officeDocument/2006/relationships/hyperlink" Target="http://www.gtweed.com/supplier-information/" TargetMode="External"/><Relationship Id="rId19" Type="http://schemas.openxmlformats.org/officeDocument/2006/relationships/hyperlink" Target="https://www.gtweed.com/supplier-information/" TargetMode="External"/><Relationship Id="rId31" Type="http://schemas.openxmlformats.org/officeDocument/2006/relationships/hyperlink" Target="http://www.aiag.org/" TargetMode="External"/><Relationship Id="rId44" Type="http://schemas.openxmlformats.org/officeDocument/2006/relationships/hyperlink" Target="http://www.pmddtc.state.gov/regulations_laws/itar.html" TargetMode="External"/><Relationship Id="rId4" Type="http://schemas.openxmlformats.org/officeDocument/2006/relationships/settings" Target="settings.xml"/><Relationship Id="rId9" Type="http://schemas.openxmlformats.org/officeDocument/2006/relationships/hyperlink" Target="http://www.gtweed.com/supplier-information/" TargetMode="External"/><Relationship Id="rId14" Type="http://schemas.openxmlformats.org/officeDocument/2006/relationships/hyperlink" Target="http://www.gtweed.com/certifications" TargetMode="External"/><Relationship Id="rId22" Type="http://schemas.openxmlformats.org/officeDocument/2006/relationships/hyperlink" Target="https://environment.ec.europa.eu/strategy/chemicals-strategy/implementation_en" TargetMode="External"/><Relationship Id="rId27" Type="http://schemas.openxmlformats.org/officeDocument/2006/relationships/hyperlink" Target="http://www.gtweed.com/supplier-information/" TargetMode="External"/><Relationship Id="rId30" Type="http://schemas.openxmlformats.org/officeDocument/2006/relationships/image" Target="media/image3.png"/><Relationship Id="rId35" Type="http://schemas.openxmlformats.org/officeDocument/2006/relationships/hyperlink" Target="http://www.cen.eu/" TargetMode="External"/><Relationship Id="rId43" Type="http://schemas.openxmlformats.org/officeDocument/2006/relationships/hyperlink" Target="http://www.osha.gov/Publications/OSHA3514.html" TargetMode="External"/><Relationship Id="rId48" Type="http://schemas.openxmlformats.org/officeDocument/2006/relationships/footer" Target="footer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DC001-9C28-44E4-AC88-D36749DB4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40</Pages>
  <Words>14364</Words>
  <Characters>81875</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Jo Benner</dc:creator>
  <cp:keywords/>
  <dc:description/>
  <cp:lastModifiedBy>Karen Landis</cp:lastModifiedBy>
  <cp:revision>4</cp:revision>
  <dcterms:created xsi:type="dcterms:W3CDTF">2024-03-15T14:03:00Z</dcterms:created>
  <dcterms:modified xsi:type="dcterms:W3CDTF">2024-03-22T10:55:00Z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00-Author">
    <vt:lpwstr>Jason Ferguson</vt:lpwstr>
  </property>
  <property fmtid="{D5CDD505-2E9C-101B-9397-08002B2CF9AE}" pid="3" name="01-Revisor">
    <vt:lpwstr>Jason Ferguson</vt:lpwstr>
  </property>
  <property fmtid="{D5CDD505-2E9C-101B-9397-08002B2CF9AE}" pid="4" name="02-Mgr./Supr.">
    <vt:lpwstr>Ashley Jones</vt:lpwstr>
  </property>
  <property fmtid="{D5CDD505-2E9C-101B-9397-08002B2CF9AE}" pid="5" name="03-QA Mgr.">
    <vt:lpwstr>Kenneth Church</vt:lpwstr>
  </property>
  <property fmtid="{D5CDD505-2E9C-101B-9397-08002B2CF9AE}" pid="6" name="04--Doc. Rel. Date">
    <vt:lpwstr>03/22/2024</vt:lpwstr>
  </property>
  <property fmtid="{D5CDD505-2E9C-101B-9397-08002B2CF9AE}" pid="7" name="05-Procedure #">
    <vt:lpwstr>CP-NBS-14.002</vt:lpwstr>
  </property>
  <property fmtid="{D5CDD505-2E9C-101B-9397-08002B2CF9AE}" pid="8" name="06-Revision">
    <vt:lpwstr>A</vt:lpwstr>
  </property>
  <property fmtid="{D5CDD505-2E9C-101B-9397-08002B2CF9AE}" pid="9" name="07-ECN #">
    <vt:lpwstr>20231017120613KL</vt:lpwstr>
  </property>
</Properties>
</file>